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49" w:rsidRDefault="007E3B49"/>
    <w:p w:rsidR="002F75A7" w:rsidRDefault="00B913DC" w:rsidP="00106162">
      <w:pPr>
        <w:jc w:val="center"/>
        <w:rPr>
          <w:b/>
          <w:sz w:val="40"/>
          <w:szCs w:val="40"/>
        </w:rPr>
      </w:pPr>
      <w:r>
        <w:rPr>
          <w:b/>
          <w:sz w:val="40"/>
          <w:szCs w:val="40"/>
        </w:rPr>
        <w:t>Camping</w:t>
      </w:r>
      <w:r w:rsidR="000372F9">
        <w:rPr>
          <w:b/>
          <w:sz w:val="40"/>
          <w:szCs w:val="40"/>
        </w:rPr>
        <w:t>områder</w:t>
      </w:r>
      <w:r w:rsidR="00F05102">
        <w:rPr>
          <w:b/>
          <w:sz w:val="40"/>
          <w:szCs w:val="40"/>
        </w:rPr>
        <w:t xml:space="preserve"> fra 1.1.2017 </w:t>
      </w:r>
    </w:p>
    <w:p w:rsidR="00106162" w:rsidRDefault="00106162" w:rsidP="00106162">
      <w:pPr>
        <w:jc w:val="center"/>
        <w:rPr>
          <w:b/>
          <w:sz w:val="40"/>
          <w:szCs w:val="40"/>
        </w:rPr>
      </w:pPr>
    </w:p>
    <w:p w:rsidR="00106162" w:rsidRPr="00626AB6" w:rsidRDefault="00106162" w:rsidP="00106162">
      <w:pPr>
        <w:jc w:val="center"/>
        <w:rPr>
          <w:b/>
          <w:sz w:val="40"/>
          <w:szCs w:val="40"/>
        </w:rPr>
      </w:pPr>
    </w:p>
    <w:p w:rsidR="002F75A7" w:rsidRPr="00626AB6" w:rsidRDefault="00106162" w:rsidP="002F75A7">
      <w:pPr>
        <w:jc w:val="center"/>
        <w:rPr>
          <w:b/>
          <w:sz w:val="32"/>
          <w:szCs w:val="32"/>
        </w:rPr>
      </w:pPr>
      <w:r>
        <w:rPr>
          <w:b/>
          <w:sz w:val="32"/>
          <w:szCs w:val="32"/>
        </w:rPr>
        <w:t xml:space="preserve">Uddrag af regler </w:t>
      </w:r>
      <w:r w:rsidR="002F75A7" w:rsidRPr="00626AB6">
        <w:rPr>
          <w:b/>
          <w:sz w:val="32"/>
          <w:szCs w:val="32"/>
        </w:rPr>
        <w:t>i BR 15</w:t>
      </w:r>
    </w:p>
    <w:p w:rsidR="002F75A7" w:rsidRDefault="002F75A7" w:rsidP="002F75A7">
      <w:pPr>
        <w:jc w:val="center"/>
      </w:pPr>
    </w:p>
    <w:p w:rsidR="002F75A7" w:rsidRPr="002F75A7" w:rsidRDefault="002F75A7" w:rsidP="002F75A7">
      <w:pPr>
        <w:rPr>
          <w:b/>
          <w:sz w:val="28"/>
          <w:szCs w:val="28"/>
        </w:rPr>
      </w:pPr>
      <w:r>
        <w:rPr>
          <w:b/>
          <w:sz w:val="28"/>
          <w:szCs w:val="28"/>
        </w:rPr>
        <w:t xml:space="preserve">Kap. </w:t>
      </w:r>
      <w:r w:rsidRPr="002F75A7">
        <w:rPr>
          <w:b/>
          <w:sz w:val="28"/>
          <w:szCs w:val="28"/>
        </w:rPr>
        <w:t>1.3.6.</w:t>
      </w:r>
      <w:r w:rsidR="00B913DC">
        <w:rPr>
          <w:b/>
          <w:sz w:val="28"/>
          <w:szCs w:val="28"/>
        </w:rPr>
        <w:t>1</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34"/>
        <w:gridCol w:w="4834"/>
      </w:tblGrid>
      <w:tr w:rsidR="00B913DC" w:rsidRPr="00B913DC" w:rsidTr="00B913DC">
        <w:trPr>
          <w:tblCellSpacing w:w="0" w:type="dxa"/>
        </w:trPr>
        <w:tc>
          <w:tcPr>
            <w:tcW w:w="2500" w:type="pct"/>
            <w:tcBorders>
              <w:bottom w:val="nil"/>
            </w:tcBorders>
            <w:hideMark/>
          </w:tcPr>
          <w:p w:rsidR="00B913DC" w:rsidRPr="00B913DC" w:rsidRDefault="00B913DC" w:rsidP="00B913DC">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B913DC">
              <w:rPr>
                <w:rFonts w:ascii="Verdana" w:eastAsia="Times New Roman" w:hAnsi="Verdana" w:cs="Times New Roman"/>
                <w:b/>
                <w:bCs/>
                <w:color w:val="000000"/>
                <w:sz w:val="20"/>
                <w:szCs w:val="20"/>
                <w:lang w:eastAsia="da-DK"/>
              </w:rPr>
              <w:t>Stk. 1</w:t>
            </w:r>
          </w:p>
          <w:p w:rsidR="00B913DC" w:rsidRPr="00B913DC" w:rsidRDefault="00B913DC" w:rsidP="00B913DC">
            <w:pPr>
              <w:shd w:val="clear" w:color="auto" w:fill="FFFFFF"/>
              <w:spacing w:after="0" w:line="240" w:lineRule="auto"/>
              <w:rPr>
                <w:rFonts w:ascii="Verdana" w:eastAsia="Times New Roman" w:hAnsi="Verdana" w:cs="Times New Roman"/>
                <w:color w:val="333333"/>
                <w:sz w:val="19"/>
                <w:szCs w:val="19"/>
                <w:lang w:eastAsia="da-DK"/>
              </w:rPr>
            </w:pPr>
            <w:r w:rsidRPr="00B913DC">
              <w:rPr>
                <w:rFonts w:ascii="Verdana" w:eastAsia="Times New Roman" w:hAnsi="Verdana" w:cs="Times New Roman"/>
                <w:color w:val="333333"/>
                <w:sz w:val="19"/>
                <w:szCs w:val="19"/>
                <w:lang w:eastAsia="da-DK"/>
              </w:rPr>
              <w:t>Campingområder til flere end 150 overnattende personer skal placeres, indrettes og bruges i overensstemmelse med kapitel 5.7.</w:t>
            </w:r>
          </w:p>
        </w:tc>
        <w:tc>
          <w:tcPr>
            <w:tcW w:w="2500" w:type="pct"/>
            <w:tcBorders>
              <w:bottom w:val="nil"/>
            </w:tcBorders>
            <w:hideMark/>
          </w:tcPr>
          <w:p w:rsidR="00B913DC" w:rsidRPr="00B913DC" w:rsidRDefault="00B913DC" w:rsidP="00B913DC">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B913DC">
              <w:rPr>
                <w:rFonts w:ascii="Verdana" w:eastAsia="Times New Roman" w:hAnsi="Verdana" w:cs="Times New Roman"/>
                <w:b/>
                <w:bCs/>
                <w:color w:val="000000"/>
                <w:sz w:val="20"/>
                <w:szCs w:val="20"/>
                <w:lang w:eastAsia="da-DK"/>
              </w:rPr>
              <w:t>(</w:t>
            </w:r>
            <w:r>
              <w:rPr>
                <w:rFonts w:ascii="Verdana" w:eastAsia="Times New Roman" w:hAnsi="Verdana" w:cs="Times New Roman"/>
                <w:b/>
                <w:bCs/>
                <w:color w:val="000000"/>
                <w:sz w:val="20"/>
                <w:szCs w:val="20"/>
                <w:lang w:eastAsia="da-DK"/>
              </w:rPr>
              <w:t xml:space="preserve">vejledning </w:t>
            </w:r>
            <w:r w:rsidRPr="00B913DC">
              <w:rPr>
                <w:rFonts w:ascii="Verdana" w:eastAsia="Times New Roman" w:hAnsi="Verdana" w:cs="Times New Roman"/>
                <w:b/>
                <w:bCs/>
                <w:color w:val="000000"/>
                <w:sz w:val="20"/>
                <w:szCs w:val="20"/>
                <w:lang w:eastAsia="da-DK"/>
              </w:rPr>
              <w:t>1.3.6.1, stk. 1)</w:t>
            </w:r>
          </w:p>
          <w:p w:rsidR="00B913DC" w:rsidRPr="00B913DC" w:rsidRDefault="00B913DC" w:rsidP="00B913DC">
            <w:pPr>
              <w:shd w:val="clear" w:color="auto" w:fill="FFFFFF"/>
              <w:spacing w:after="0" w:line="240" w:lineRule="auto"/>
              <w:rPr>
                <w:rFonts w:ascii="Verdana" w:eastAsia="Times New Roman" w:hAnsi="Verdana" w:cs="Times New Roman"/>
                <w:color w:val="333333"/>
                <w:sz w:val="19"/>
                <w:szCs w:val="19"/>
                <w:lang w:eastAsia="da-DK"/>
              </w:rPr>
            </w:pPr>
            <w:r w:rsidRPr="00B913DC">
              <w:rPr>
                <w:rFonts w:ascii="Verdana" w:eastAsia="Times New Roman" w:hAnsi="Verdana" w:cs="Times New Roman"/>
                <w:color w:val="333333"/>
                <w:sz w:val="19"/>
                <w:szCs w:val="19"/>
                <w:lang w:eastAsia="da-DK"/>
              </w:rPr>
              <w:t>Bestemmelsen er gældende for campingområder på musikfestivaler, spejderlejre, til sportsarrangementer og lign., hvor der opstilles mindre transportable konstruktioner til brug for overnatning. Et campingområde, der er bestemt til færre end 150 overnattende personer, er ikke omfattet af bestemmelsen, og der stilles således ikke krav efter kapitel 5.7 til disse områder. Campingpladser, der er omfattet af bekendtgørelse om tilladelse til udlejning af arealer til campering og om indretning og benyttelse af campingpladser (campingreglementet), er ikke omfattet af byggeloven.</w:t>
            </w:r>
          </w:p>
          <w:p w:rsidR="00B913DC" w:rsidRPr="00B913DC" w:rsidRDefault="00B913DC" w:rsidP="00B913DC">
            <w:pPr>
              <w:shd w:val="clear" w:color="auto" w:fill="FFFFFF"/>
              <w:spacing w:after="0" w:line="240" w:lineRule="auto"/>
              <w:rPr>
                <w:rFonts w:ascii="Verdana" w:eastAsia="Times New Roman" w:hAnsi="Verdana" w:cs="Times New Roman"/>
                <w:color w:val="333333"/>
                <w:sz w:val="19"/>
                <w:szCs w:val="19"/>
                <w:lang w:eastAsia="da-DK"/>
              </w:rPr>
            </w:pPr>
            <w:r w:rsidRPr="00B913DC">
              <w:rPr>
                <w:rFonts w:ascii="Verdana" w:eastAsia="Times New Roman" w:hAnsi="Verdana" w:cs="Times New Roman"/>
                <w:color w:val="333333"/>
                <w:sz w:val="19"/>
                <w:szCs w:val="19"/>
                <w:lang w:eastAsia="da-DK"/>
              </w:rPr>
              <w:t xml:space="preserve">Campingtelte til brug for overnatning skal ikke </w:t>
            </w:r>
            <w:proofErr w:type="spellStart"/>
            <w:r w:rsidRPr="00B913DC">
              <w:rPr>
                <w:rFonts w:ascii="Verdana" w:eastAsia="Times New Roman" w:hAnsi="Verdana" w:cs="Times New Roman"/>
                <w:color w:val="333333"/>
                <w:sz w:val="19"/>
                <w:szCs w:val="19"/>
                <w:lang w:eastAsia="da-DK"/>
              </w:rPr>
              <w:t>byggesagsbehandles</w:t>
            </w:r>
            <w:proofErr w:type="spellEnd"/>
            <w:r w:rsidRPr="00B913DC">
              <w:rPr>
                <w:rFonts w:ascii="Verdana" w:eastAsia="Times New Roman" w:hAnsi="Verdana" w:cs="Times New Roman"/>
                <w:color w:val="333333"/>
                <w:sz w:val="19"/>
                <w:szCs w:val="19"/>
                <w:lang w:eastAsia="da-DK"/>
              </w:rPr>
              <w:t xml:space="preserve"> og skal ikke leve op til andre krav i bygningsreglementet.</w:t>
            </w:r>
          </w:p>
        </w:tc>
      </w:tr>
      <w:tr w:rsidR="00B913DC" w:rsidRPr="00B913DC" w:rsidTr="00B913DC">
        <w:trPr>
          <w:tblCellSpacing w:w="0" w:type="dxa"/>
        </w:trPr>
        <w:tc>
          <w:tcPr>
            <w:tcW w:w="2500" w:type="pct"/>
            <w:tcBorders>
              <w:bottom w:val="nil"/>
            </w:tcBorders>
          </w:tcPr>
          <w:p w:rsidR="00B913DC" w:rsidRPr="00B913DC" w:rsidRDefault="00B913DC" w:rsidP="00B913DC">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p>
        </w:tc>
        <w:tc>
          <w:tcPr>
            <w:tcW w:w="2500" w:type="pct"/>
            <w:tcBorders>
              <w:bottom w:val="nil"/>
            </w:tcBorders>
          </w:tcPr>
          <w:p w:rsidR="00B913DC" w:rsidRPr="00B913DC" w:rsidRDefault="00B913DC" w:rsidP="00B913DC">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p>
        </w:tc>
      </w:tr>
      <w:tr w:rsidR="00B913DC" w:rsidRPr="00B913DC" w:rsidTr="00B913DC">
        <w:trPr>
          <w:tblCellSpacing w:w="0" w:type="dxa"/>
        </w:trPr>
        <w:tc>
          <w:tcPr>
            <w:tcW w:w="2500" w:type="pct"/>
            <w:tcBorders>
              <w:bottom w:val="nil"/>
            </w:tcBorders>
            <w:hideMark/>
          </w:tcPr>
          <w:p w:rsidR="00B913DC" w:rsidRPr="00B913DC" w:rsidRDefault="00B913DC" w:rsidP="00B913DC">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bookmarkStart w:id="0" w:name="stk2"/>
            <w:bookmarkEnd w:id="0"/>
            <w:r w:rsidRPr="00B913DC">
              <w:rPr>
                <w:rFonts w:ascii="Verdana" w:eastAsia="Times New Roman" w:hAnsi="Verdana" w:cs="Times New Roman"/>
                <w:b/>
                <w:bCs/>
                <w:color w:val="000000"/>
                <w:sz w:val="20"/>
                <w:szCs w:val="20"/>
                <w:lang w:eastAsia="da-DK"/>
              </w:rPr>
              <w:t>Stk. 2</w:t>
            </w:r>
          </w:p>
          <w:p w:rsidR="00B913DC" w:rsidRPr="00B913DC" w:rsidRDefault="00B913DC" w:rsidP="00F05102">
            <w:pPr>
              <w:shd w:val="clear" w:color="auto" w:fill="FFFFFF"/>
              <w:spacing w:after="0" w:line="240" w:lineRule="auto"/>
              <w:rPr>
                <w:rFonts w:ascii="Verdana" w:eastAsia="Times New Roman" w:hAnsi="Verdana" w:cs="Times New Roman"/>
                <w:color w:val="333333"/>
                <w:sz w:val="19"/>
                <w:szCs w:val="19"/>
                <w:lang w:eastAsia="da-DK"/>
              </w:rPr>
            </w:pPr>
            <w:r w:rsidRPr="00B913DC">
              <w:rPr>
                <w:rFonts w:ascii="Verdana" w:eastAsia="Times New Roman" w:hAnsi="Verdana" w:cs="Times New Roman"/>
                <w:color w:val="333333"/>
                <w:sz w:val="19"/>
                <w:szCs w:val="19"/>
                <w:lang w:eastAsia="da-DK"/>
              </w:rPr>
              <w:t xml:space="preserve">Campingområder med et areal på mellem 1.000 m² og 3.000 m² til flere end 150 overnattende personer skal </w:t>
            </w:r>
            <w:r w:rsidR="00F05102" w:rsidRPr="00F05102">
              <w:rPr>
                <w:rFonts w:ascii="Verdana" w:eastAsia="Times New Roman" w:hAnsi="Verdana" w:cs="Times New Roman"/>
                <w:color w:val="333333"/>
                <w:sz w:val="19"/>
                <w:szCs w:val="19"/>
                <w:u w:val="single"/>
                <w:lang w:eastAsia="da-DK"/>
              </w:rPr>
              <w:t>meddeles</w:t>
            </w:r>
            <w:r w:rsidRPr="00B913DC">
              <w:rPr>
                <w:rFonts w:ascii="Verdana" w:eastAsia="Times New Roman" w:hAnsi="Verdana" w:cs="Times New Roman"/>
                <w:color w:val="333333"/>
                <w:sz w:val="19"/>
                <w:szCs w:val="19"/>
                <w:lang w:eastAsia="da-DK"/>
              </w:rPr>
              <w:t xml:space="preserve"> til kommunalbestyrelsen og skal placeres, indrettes og bruges i overensstemmelse med kapitel 5.7.</w:t>
            </w:r>
          </w:p>
        </w:tc>
        <w:tc>
          <w:tcPr>
            <w:tcW w:w="2500" w:type="pct"/>
            <w:tcBorders>
              <w:bottom w:val="nil"/>
            </w:tcBorders>
            <w:hideMark/>
          </w:tcPr>
          <w:p w:rsidR="00B913DC" w:rsidRPr="00B913DC" w:rsidRDefault="00B913DC" w:rsidP="00B913DC">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B913DC">
              <w:rPr>
                <w:rFonts w:ascii="Verdana" w:eastAsia="Times New Roman" w:hAnsi="Verdana" w:cs="Times New Roman"/>
                <w:b/>
                <w:bCs/>
                <w:color w:val="000000"/>
                <w:sz w:val="20"/>
                <w:szCs w:val="20"/>
                <w:lang w:eastAsia="da-DK"/>
              </w:rPr>
              <w:t>(</w:t>
            </w:r>
            <w:r>
              <w:rPr>
                <w:rFonts w:ascii="Verdana" w:eastAsia="Times New Roman" w:hAnsi="Verdana" w:cs="Times New Roman"/>
                <w:b/>
                <w:bCs/>
                <w:color w:val="000000"/>
                <w:sz w:val="20"/>
                <w:szCs w:val="20"/>
                <w:lang w:eastAsia="da-DK"/>
              </w:rPr>
              <w:t xml:space="preserve">Vejledning </w:t>
            </w:r>
            <w:r w:rsidRPr="00B913DC">
              <w:rPr>
                <w:rFonts w:ascii="Verdana" w:eastAsia="Times New Roman" w:hAnsi="Verdana" w:cs="Times New Roman"/>
                <w:b/>
                <w:bCs/>
                <w:color w:val="000000"/>
                <w:sz w:val="20"/>
                <w:szCs w:val="20"/>
                <w:lang w:eastAsia="da-DK"/>
              </w:rPr>
              <w:t>1.3.6.1, stk. 2)</w:t>
            </w:r>
          </w:p>
          <w:p w:rsidR="00F05102" w:rsidRDefault="00B913DC" w:rsidP="00B913DC">
            <w:pPr>
              <w:shd w:val="clear" w:color="auto" w:fill="FFFFFF"/>
              <w:spacing w:after="0" w:line="240" w:lineRule="auto"/>
              <w:rPr>
                <w:rFonts w:ascii="Verdana" w:eastAsia="Times New Roman" w:hAnsi="Verdana" w:cs="Times New Roman"/>
                <w:color w:val="333333"/>
                <w:sz w:val="19"/>
                <w:szCs w:val="19"/>
                <w:lang w:eastAsia="da-DK"/>
              </w:rPr>
            </w:pPr>
            <w:r w:rsidRPr="00B913DC">
              <w:rPr>
                <w:rFonts w:ascii="Verdana" w:eastAsia="Times New Roman" w:hAnsi="Verdana" w:cs="Times New Roman"/>
                <w:color w:val="333333"/>
                <w:sz w:val="19"/>
                <w:szCs w:val="19"/>
                <w:lang w:eastAsia="da-DK"/>
              </w:rPr>
              <w:t xml:space="preserve">Bestemmelsen er gældende for campingområder på musikfestivaler, spejderlejre, til sportsarrangementer og lign., hvor der opstilles mindre transportable konstruktioner til brug for overnatning. Et campingområde, der er bestemt til færre end 150 overnattende personer, er ikke omfattet af bestemmelsen, og der stilles således ikke krav efter kapitel 5.7 til disse områder. Campingpladser, der er omfattet af bekendtgørelse om tilladelse til udlejning af arealer til campering og om indretning og benyttelse af campingpladser (campingreglementet), er ikke omfattet af byggeloven. Campingtelte til brug for overnatning skal ikke </w:t>
            </w:r>
            <w:proofErr w:type="spellStart"/>
            <w:r w:rsidRPr="00B913DC">
              <w:rPr>
                <w:rFonts w:ascii="Verdana" w:eastAsia="Times New Roman" w:hAnsi="Verdana" w:cs="Times New Roman"/>
                <w:color w:val="333333"/>
                <w:sz w:val="19"/>
                <w:szCs w:val="19"/>
                <w:lang w:eastAsia="da-DK"/>
              </w:rPr>
              <w:t>byggesagsbehandles</w:t>
            </w:r>
            <w:proofErr w:type="spellEnd"/>
            <w:r w:rsidRPr="00B913DC">
              <w:rPr>
                <w:rFonts w:ascii="Verdana" w:eastAsia="Times New Roman" w:hAnsi="Verdana" w:cs="Times New Roman"/>
                <w:color w:val="333333"/>
                <w:sz w:val="19"/>
                <w:szCs w:val="19"/>
                <w:lang w:eastAsia="da-DK"/>
              </w:rPr>
              <w:t xml:space="preserve"> og skal ikke leve op til andre krav i bygningsreglementet.</w:t>
            </w:r>
          </w:p>
          <w:p w:rsidR="00F05102" w:rsidRPr="009A2002" w:rsidRDefault="00F05102" w:rsidP="00B913DC">
            <w:pPr>
              <w:shd w:val="clear" w:color="auto" w:fill="FFFFFF"/>
              <w:spacing w:after="0" w:line="240" w:lineRule="auto"/>
              <w:rPr>
                <w:rFonts w:ascii="Verdana" w:eastAsia="Times New Roman" w:hAnsi="Verdana" w:cs="Times New Roman"/>
                <w:color w:val="333333"/>
                <w:sz w:val="19"/>
                <w:szCs w:val="19"/>
                <w:lang w:eastAsia="da-DK"/>
              </w:rPr>
            </w:pPr>
            <w:bookmarkStart w:id="1" w:name="_GoBack"/>
            <w:r w:rsidRPr="009A2002">
              <w:rPr>
                <w:rFonts w:ascii="Verdana" w:eastAsia="Times New Roman" w:hAnsi="Verdana" w:cs="Times New Roman"/>
                <w:color w:val="333333"/>
                <w:sz w:val="19"/>
                <w:szCs w:val="19"/>
                <w:lang w:eastAsia="da-DK"/>
              </w:rPr>
              <w:t xml:space="preserve">Meddelelsen til kommunalbestyrelsen skal sikre, at beredskabet, på baggrund af </w:t>
            </w:r>
            <w:r w:rsidRPr="009A2002">
              <w:rPr>
                <w:rFonts w:ascii="Verdana" w:eastAsia="Times New Roman" w:hAnsi="Verdana" w:cs="Times New Roman"/>
                <w:color w:val="333333"/>
                <w:sz w:val="19"/>
                <w:szCs w:val="19"/>
                <w:lang w:eastAsia="da-DK"/>
              </w:rPr>
              <w:lastRenderedPageBreak/>
              <w:t>kommunalbestyrelsens orientering, får besked om etablering af campingområdet</w:t>
            </w:r>
          </w:p>
          <w:bookmarkEnd w:id="1"/>
          <w:p w:rsidR="00B913DC" w:rsidRPr="00B913DC" w:rsidRDefault="00B913DC" w:rsidP="00B913DC">
            <w:pPr>
              <w:shd w:val="clear" w:color="auto" w:fill="FFFFFF"/>
              <w:spacing w:after="0" w:line="240" w:lineRule="auto"/>
              <w:rPr>
                <w:rFonts w:ascii="Verdana" w:eastAsia="Times New Roman" w:hAnsi="Verdana" w:cs="Times New Roman"/>
                <w:color w:val="333333"/>
                <w:sz w:val="19"/>
                <w:szCs w:val="19"/>
                <w:lang w:eastAsia="da-DK"/>
              </w:rPr>
            </w:pPr>
            <w:r w:rsidRPr="00B913DC">
              <w:rPr>
                <w:rFonts w:ascii="Verdana" w:eastAsia="Times New Roman" w:hAnsi="Verdana" w:cs="Times New Roman"/>
                <w:color w:val="333333"/>
                <w:sz w:val="19"/>
                <w:szCs w:val="19"/>
                <w:lang w:eastAsia="da-DK"/>
              </w:rPr>
              <w:t xml:space="preserve"> </w:t>
            </w:r>
          </w:p>
          <w:p w:rsidR="00B913DC" w:rsidRPr="00B913DC" w:rsidRDefault="00B913DC" w:rsidP="00B913DC">
            <w:pPr>
              <w:shd w:val="clear" w:color="auto" w:fill="FFFFFF"/>
              <w:spacing w:after="0" w:line="240" w:lineRule="auto"/>
              <w:rPr>
                <w:rFonts w:ascii="Verdana" w:eastAsia="Times New Roman" w:hAnsi="Verdana" w:cs="Times New Roman"/>
                <w:color w:val="333333"/>
                <w:sz w:val="20"/>
                <w:szCs w:val="20"/>
                <w:lang w:eastAsia="da-DK"/>
              </w:rPr>
            </w:pPr>
          </w:p>
        </w:tc>
      </w:tr>
      <w:tr w:rsidR="00B913DC" w:rsidRPr="00B913DC" w:rsidTr="00B913DC">
        <w:trPr>
          <w:tblCellSpacing w:w="0" w:type="dxa"/>
        </w:trPr>
        <w:tc>
          <w:tcPr>
            <w:tcW w:w="2500" w:type="pct"/>
            <w:tcBorders>
              <w:bottom w:val="nil"/>
            </w:tcBorders>
            <w:hideMark/>
          </w:tcPr>
          <w:p w:rsidR="00B913DC" w:rsidRPr="00B913DC" w:rsidRDefault="00B913DC" w:rsidP="00B913DC">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bookmarkStart w:id="2" w:name="stk3"/>
            <w:bookmarkEnd w:id="2"/>
            <w:r w:rsidRPr="00B913DC">
              <w:rPr>
                <w:rFonts w:ascii="Verdana" w:eastAsia="Times New Roman" w:hAnsi="Verdana" w:cs="Times New Roman"/>
                <w:b/>
                <w:bCs/>
                <w:color w:val="000000"/>
                <w:sz w:val="20"/>
                <w:szCs w:val="20"/>
                <w:lang w:eastAsia="da-DK"/>
              </w:rPr>
              <w:lastRenderedPageBreak/>
              <w:t>Stk. 3</w:t>
            </w:r>
          </w:p>
          <w:p w:rsidR="00B913DC" w:rsidRPr="00B913DC" w:rsidRDefault="00B913DC" w:rsidP="00B913DC">
            <w:pPr>
              <w:shd w:val="clear" w:color="auto" w:fill="FFFFFF"/>
              <w:spacing w:after="0" w:line="240" w:lineRule="auto"/>
              <w:rPr>
                <w:rFonts w:ascii="Verdana" w:eastAsia="Times New Roman" w:hAnsi="Verdana" w:cs="Times New Roman"/>
                <w:color w:val="333333"/>
                <w:sz w:val="19"/>
                <w:szCs w:val="19"/>
                <w:lang w:eastAsia="da-DK"/>
              </w:rPr>
            </w:pPr>
            <w:r w:rsidRPr="00B913DC">
              <w:rPr>
                <w:rFonts w:ascii="Verdana" w:eastAsia="Times New Roman" w:hAnsi="Verdana" w:cs="Times New Roman"/>
                <w:color w:val="333333"/>
                <w:sz w:val="19"/>
                <w:szCs w:val="19"/>
                <w:lang w:eastAsia="da-DK"/>
              </w:rPr>
              <w:t>Campingområder med et samlet areal på over 3.000 m² til flere end 150 overnattende personer skal have en godkendelse af kommunalbestyrelsen og skal placeres, indrettes og bruges i overensstemmelse med kapitel 5.7.</w:t>
            </w:r>
          </w:p>
        </w:tc>
        <w:tc>
          <w:tcPr>
            <w:tcW w:w="2500" w:type="pct"/>
            <w:tcBorders>
              <w:bottom w:val="nil"/>
            </w:tcBorders>
            <w:hideMark/>
          </w:tcPr>
          <w:p w:rsidR="00B913DC" w:rsidRPr="00B913DC" w:rsidRDefault="00B913DC" w:rsidP="00B913DC">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B913DC">
              <w:rPr>
                <w:rFonts w:ascii="Verdana" w:eastAsia="Times New Roman" w:hAnsi="Verdana" w:cs="Times New Roman"/>
                <w:b/>
                <w:bCs/>
                <w:color w:val="000000"/>
                <w:sz w:val="20"/>
                <w:szCs w:val="20"/>
                <w:lang w:eastAsia="da-DK"/>
              </w:rPr>
              <w:t>(</w:t>
            </w:r>
            <w:r>
              <w:rPr>
                <w:rFonts w:ascii="Verdana" w:eastAsia="Times New Roman" w:hAnsi="Verdana" w:cs="Times New Roman"/>
                <w:b/>
                <w:bCs/>
                <w:color w:val="000000"/>
                <w:sz w:val="20"/>
                <w:szCs w:val="20"/>
                <w:lang w:eastAsia="da-DK"/>
              </w:rPr>
              <w:t xml:space="preserve">Vejledning </w:t>
            </w:r>
            <w:r w:rsidRPr="00B913DC">
              <w:rPr>
                <w:rFonts w:ascii="Verdana" w:eastAsia="Times New Roman" w:hAnsi="Verdana" w:cs="Times New Roman"/>
                <w:b/>
                <w:bCs/>
                <w:color w:val="000000"/>
                <w:sz w:val="20"/>
                <w:szCs w:val="20"/>
                <w:lang w:eastAsia="da-DK"/>
              </w:rPr>
              <w:t>1.3.6.1, stk. 3)</w:t>
            </w:r>
          </w:p>
          <w:p w:rsidR="00B913DC" w:rsidRPr="00B913DC" w:rsidRDefault="00B913DC" w:rsidP="00B913DC">
            <w:pPr>
              <w:shd w:val="clear" w:color="auto" w:fill="FFFFFF"/>
              <w:spacing w:after="0" w:line="240" w:lineRule="auto"/>
              <w:rPr>
                <w:rFonts w:ascii="Verdana" w:eastAsia="Times New Roman" w:hAnsi="Verdana" w:cs="Times New Roman"/>
                <w:color w:val="333333"/>
                <w:sz w:val="19"/>
                <w:szCs w:val="19"/>
                <w:lang w:eastAsia="da-DK"/>
              </w:rPr>
            </w:pPr>
            <w:r w:rsidRPr="00B913DC">
              <w:rPr>
                <w:rFonts w:ascii="Verdana" w:eastAsia="Times New Roman" w:hAnsi="Verdana" w:cs="Times New Roman"/>
                <w:color w:val="333333"/>
                <w:sz w:val="19"/>
                <w:szCs w:val="19"/>
                <w:lang w:eastAsia="da-DK"/>
              </w:rPr>
              <w:t>Bestemmelsen er gældende for campingområder på musikfestivaler, spejderlejre, til sportsarrangementer og lign., hvor der opstilles mindre transportable konstruktioner til brug for overnatning. Et campingområde, der er bestemt til færre end 150 overnattende personer, er ikke omfattet af bestemmelsen, og der stilles således ikke krav efter kapitel 5.7 til disse områder. Campingpladser, der er omfattet af bekendtgørelse om tilladelse til udlejning af arealer til campering og om indretning og benyttelse af campingpladser (campingreglementet), er ikke omfattet af byggeloven.</w:t>
            </w:r>
          </w:p>
          <w:p w:rsidR="00B913DC" w:rsidRPr="00B913DC" w:rsidRDefault="00B913DC" w:rsidP="00B913DC">
            <w:pPr>
              <w:shd w:val="clear" w:color="auto" w:fill="FFFFFF"/>
              <w:spacing w:after="0" w:line="240" w:lineRule="auto"/>
              <w:rPr>
                <w:rFonts w:ascii="Verdana" w:eastAsia="Times New Roman" w:hAnsi="Verdana" w:cs="Times New Roman"/>
                <w:color w:val="333333"/>
                <w:sz w:val="19"/>
                <w:szCs w:val="19"/>
                <w:lang w:eastAsia="da-DK"/>
              </w:rPr>
            </w:pPr>
            <w:r w:rsidRPr="00B913DC">
              <w:rPr>
                <w:rFonts w:ascii="Verdana" w:eastAsia="Times New Roman" w:hAnsi="Verdana" w:cs="Times New Roman"/>
                <w:color w:val="333333"/>
                <w:sz w:val="19"/>
                <w:szCs w:val="19"/>
                <w:lang w:eastAsia="da-DK"/>
              </w:rPr>
              <w:t xml:space="preserve">Campingtelte til brug for overnatning skal ikke </w:t>
            </w:r>
            <w:proofErr w:type="spellStart"/>
            <w:r w:rsidRPr="00B913DC">
              <w:rPr>
                <w:rFonts w:ascii="Verdana" w:eastAsia="Times New Roman" w:hAnsi="Verdana" w:cs="Times New Roman"/>
                <w:color w:val="333333"/>
                <w:sz w:val="19"/>
                <w:szCs w:val="19"/>
                <w:lang w:eastAsia="da-DK"/>
              </w:rPr>
              <w:t>byggesagsbehandles</w:t>
            </w:r>
            <w:proofErr w:type="spellEnd"/>
            <w:r w:rsidRPr="00B913DC">
              <w:rPr>
                <w:rFonts w:ascii="Verdana" w:eastAsia="Times New Roman" w:hAnsi="Verdana" w:cs="Times New Roman"/>
                <w:color w:val="333333"/>
                <w:sz w:val="19"/>
                <w:szCs w:val="19"/>
                <w:lang w:eastAsia="da-DK"/>
              </w:rPr>
              <w:t xml:space="preserve"> og skal ikke leve op til andre krav i bygningsreglementet.</w:t>
            </w:r>
          </w:p>
        </w:tc>
      </w:tr>
    </w:tbl>
    <w:p w:rsidR="00B913DC" w:rsidRDefault="00B913DC" w:rsidP="00B913DC">
      <w:pPr>
        <w:rPr>
          <w:b/>
          <w:sz w:val="28"/>
          <w:szCs w:val="28"/>
        </w:rPr>
      </w:pPr>
    </w:p>
    <w:p w:rsidR="007C6D79" w:rsidRDefault="007C6D79" w:rsidP="00B913DC">
      <w:pPr>
        <w:rPr>
          <w:b/>
          <w:sz w:val="28"/>
          <w:szCs w:val="28"/>
        </w:rPr>
      </w:pPr>
    </w:p>
    <w:p w:rsidR="00B913DC" w:rsidRPr="002F75A7" w:rsidRDefault="00B913DC" w:rsidP="00B913DC">
      <w:pPr>
        <w:rPr>
          <w:b/>
          <w:sz w:val="28"/>
          <w:szCs w:val="28"/>
        </w:rPr>
      </w:pPr>
      <w:r w:rsidRPr="002F75A7">
        <w:rPr>
          <w:b/>
          <w:sz w:val="28"/>
          <w:szCs w:val="28"/>
        </w:rPr>
        <w:t>Kap. 5.7</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834"/>
        <w:gridCol w:w="4834"/>
      </w:tblGrid>
      <w:tr w:rsidR="00B913DC" w:rsidRPr="002F75A7" w:rsidTr="007A50A1">
        <w:trPr>
          <w:tblCellSpacing w:w="0" w:type="dxa"/>
        </w:trPr>
        <w:tc>
          <w:tcPr>
            <w:tcW w:w="2500" w:type="pct"/>
            <w:tcBorders>
              <w:bottom w:val="nil"/>
            </w:tcBorders>
            <w:hideMark/>
          </w:tcPr>
          <w:p w:rsidR="00B913DC" w:rsidRPr="002F75A7" w:rsidRDefault="00B913DC" w:rsidP="007A50A1">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2F75A7">
              <w:rPr>
                <w:rFonts w:ascii="Verdana" w:eastAsia="Times New Roman" w:hAnsi="Verdana" w:cs="Times New Roman"/>
                <w:b/>
                <w:bCs/>
                <w:color w:val="000000"/>
                <w:sz w:val="20"/>
                <w:szCs w:val="20"/>
                <w:lang w:eastAsia="da-DK"/>
              </w:rPr>
              <w:t xml:space="preserve">Stk. 1 </w:t>
            </w:r>
          </w:p>
          <w:p w:rsidR="00B913DC" w:rsidRPr="002F75A7" w:rsidRDefault="00B913DC" w:rsidP="007A50A1">
            <w:pPr>
              <w:shd w:val="clear" w:color="auto" w:fill="FFFFFF"/>
              <w:spacing w:after="0" w:line="240" w:lineRule="auto"/>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Festival-, salgsområder og campingområder skal placeres, indrettes og bruges på en sådan måde, at en brand kan begrænses til det område, hvor branden er opstået. Spredning af brand og røg til andre områder, skal forhindres i den tid, som er nødvendig for evakuering og redningsberedskabets indsats.</w:t>
            </w:r>
          </w:p>
        </w:tc>
        <w:tc>
          <w:tcPr>
            <w:tcW w:w="2500" w:type="pct"/>
            <w:tcBorders>
              <w:bottom w:val="nil"/>
            </w:tcBorders>
            <w:hideMark/>
          </w:tcPr>
          <w:p w:rsidR="00B913DC" w:rsidRPr="002F75A7" w:rsidRDefault="00B913DC" w:rsidP="007A50A1">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2F75A7">
              <w:rPr>
                <w:rFonts w:ascii="Verdana" w:eastAsia="Times New Roman" w:hAnsi="Verdana" w:cs="Times New Roman"/>
                <w:b/>
                <w:bCs/>
                <w:color w:val="000000"/>
                <w:sz w:val="20"/>
                <w:szCs w:val="20"/>
                <w:lang w:eastAsia="da-DK"/>
              </w:rPr>
              <w:t>(</w:t>
            </w:r>
            <w:r>
              <w:rPr>
                <w:rFonts w:ascii="Verdana" w:eastAsia="Times New Roman" w:hAnsi="Verdana" w:cs="Times New Roman"/>
                <w:b/>
                <w:bCs/>
                <w:color w:val="000000"/>
                <w:sz w:val="20"/>
                <w:szCs w:val="20"/>
                <w:lang w:eastAsia="da-DK"/>
              </w:rPr>
              <w:t xml:space="preserve">Vejledning </w:t>
            </w:r>
            <w:r w:rsidRPr="002F75A7">
              <w:rPr>
                <w:rFonts w:ascii="Verdana" w:eastAsia="Times New Roman" w:hAnsi="Verdana" w:cs="Times New Roman"/>
                <w:b/>
                <w:bCs/>
                <w:color w:val="000000"/>
                <w:sz w:val="20"/>
                <w:szCs w:val="20"/>
                <w:lang w:eastAsia="da-DK"/>
              </w:rPr>
              <w:t>5.7, stk. 1)</w:t>
            </w:r>
          </w:p>
          <w:p w:rsidR="00B913DC" w:rsidRPr="002F75A7" w:rsidRDefault="00B913DC" w:rsidP="007A50A1">
            <w:pPr>
              <w:shd w:val="clear" w:color="auto" w:fill="FFFFFF"/>
              <w:spacing w:after="0" w:line="240" w:lineRule="auto"/>
              <w:ind w:left="110"/>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 xml:space="preserve">Der henvises til </w:t>
            </w:r>
            <w:r w:rsidRPr="002F75A7">
              <w:rPr>
                <w:rFonts w:ascii="Verdana" w:eastAsia="Times New Roman" w:hAnsi="Verdana" w:cs="Times New Roman"/>
                <w:b/>
                <w:color w:val="333333"/>
                <w:sz w:val="19"/>
                <w:szCs w:val="19"/>
                <w:lang w:eastAsia="da-DK"/>
              </w:rPr>
              <w:t>vejledningen om certificeringsordning og byggesagsbehandling af transportable telte og konstruktioner</w:t>
            </w:r>
            <w:r w:rsidRPr="002F75A7">
              <w:rPr>
                <w:rFonts w:ascii="Verdana" w:eastAsia="Times New Roman" w:hAnsi="Verdana" w:cs="Times New Roman"/>
                <w:color w:val="333333"/>
                <w:sz w:val="19"/>
                <w:szCs w:val="19"/>
                <w:lang w:eastAsia="da-DK"/>
              </w:rPr>
              <w:t>, der indeholder eksempler på overholdelse af kravene.</w:t>
            </w:r>
          </w:p>
        </w:tc>
      </w:tr>
    </w:tbl>
    <w:p w:rsidR="002F75A7" w:rsidRDefault="002F75A7" w:rsidP="002F75A7"/>
    <w:p w:rsidR="002F75A7" w:rsidRDefault="002F75A7" w:rsidP="002F75A7"/>
    <w:p w:rsidR="00106162" w:rsidRDefault="00106162" w:rsidP="001F055D">
      <w:pPr>
        <w:jc w:val="center"/>
        <w:rPr>
          <w:b/>
          <w:sz w:val="32"/>
          <w:szCs w:val="32"/>
        </w:rPr>
      </w:pPr>
    </w:p>
    <w:p w:rsidR="00106162" w:rsidRDefault="00106162" w:rsidP="001F055D">
      <w:pPr>
        <w:jc w:val="center"/>
        <w:rPr>
          <w:b/>
          <w:sz w:val="32"/>
          <w:szCs w:val="32"/>
        </w:rPr>
      </w:pPr>
    </w:p>
    <w:p w:rsidR="00106162" w:rsidRDefault="00106162" w:rsidP="001F055D">
      <w:pPr>
        <w:jc w:val="center"/>
        <w:rPr>
          <w:b/>
          <w:sz w:val="32"/>
          <w:szCs w:val="32"/>
        </w:rPr>
      </w:pPr>
    </w:p>
    <w:p w:rsidR="00106162" w:rsidRDefault="00106162" w:rsidP="001F055D">
      <w:pPr>
        <w:jc w:val="center"/>
        <w:rPr>
          <w:b/>
          <w:sz w:val="32"/>
          <w:szCs w:val="32"/>
        </w:rPr>
      </w:pPr>
    </w:p>
    <w:p w:rsidR="00106162" w:rsidRDefault="00106162" w:rsidP="001F055D">
      <w:pPr>
        <w:jc w:val="center"/>
        <w:rPr>
          <w:b/>
          <w:sz w:val="32"/>
          <w:szCs w:val="32"/>
        </w:rPr>
      </w:pPr>
    </w:p>
    <w:p w:rsidR="00106162" w:rsidRDefault="00106162" w:rsidP="001F055D">
      <w:pPr>
        <w:jc w:val="center"/>
        <w:rPr>
          <w:b/>
          <w:sz w:val="32"/>
          <w:szCs w:val="32"/>
        </w:rPr>
      </w:pPr>
    </w:p>
    <w:p w:rsidR="00106162" w:rsidRDefault="00106162" w:rsidP="001F055D">
      <w:pPr>
        <w:jc w:val="center"/>
        <w:rPr>
          <w:b/>
          <w:sz w:val="32"/>
          <w:szCs w:val="32"/>
        </w:rPr>
      </w:pPr>
      <w:r>
        <w:rPr>
          <w:b/>
          <w:sz w:val="32"/>
          <w:szCs w:val="32"/>
        </w:rPr>
        <w:lastRenderedPageBreak/>
        <w:t>UDDRAG FRA:</w:t>
      </w:r>
    </w:p>
    <w:p w:rsidR="001F055D" w:rsidRPr="00626AB6" w:rsidRDefault="001F055D" w:rsidP="001F055D">
      <w:pPr>
        <w:jc w:val="center"/>
        <w:rPr>
          <w:b/>
          <w:sz w:val="32"/>
          <w:szCs w:val="32"/>
        </w:rPr>
      </w:pPr>
      <w:r w:rsidRPr="00626AB6">
        <w:rPr>
          <w:b/>
          <w:sz w:val="32"/>
          <w:szCs w:val="32"/>
        </w:rPr>
        <w:t>Regler i vejledning om opstilling af transportable telte og konstruktioner, herunder tribuner, scener, messestande, portaler, tårne m.m. og indretning af salgsarealer og midlertidige campingpladser</w:t>
      </w:r>
    </w:p>
    <w:p w:rsidR="00557CAC" w:rsidRPr="00557CAC" w:rsidRDefault="00557CAC" w:rsidP="00557CAC">
      <w:pPr>
        <w:jc w:val="center"/>
        <w:rPr>
          <w:b/>
        </w:rPr>
      </w:pPr>
      <w:r w:rsidRPr="00557CAC">
        <w:rPr>
          <w:b/>
        </w:rPr>
        <w:t>Tidl. Vejledning om certificeringsordning og byggesagsbehandling af transportable telte og konstruktioner</w:t>
      </w:r>
    </w:p>
    <w:p w:rsidR="00557CAC" w:rsidRDefault="00557CAC" w:rsidP="002D1BC9">
      <w:pPr>
        <w:rPr>
          <w:b/>
          <w:bCs/>
        </w:rPr>
      </w:pPr>
    </w:p>
    <w:p w:rsidR="002D1BC9" w:rsidRPr="002D1BC9" w:rsidRDefault="002D1BC9" w:rsidP="002D1BC9">
      <w:r w:rsidRPr="002D1BC9">
        <w:rPr>
          <w:b/>
          <w:bCs/>
        </w:rPr>
        <w:t xml:space="preserve">8. Driftsmæssige foranstaltninger i forsamlingstelte og festival-, salgs- og campingområder </w:t>
      </w:r>
    </w:p>
    <w:p w:rsidR="002D1BC9" w:rsidRPr="002D1BC9" w:rsidRDefault="002D1BC9" w:rsidP="002D1BC9">
      <w:r w:rsidRPr="002D1BC9">
        <w:t xml:space="preserve">Reglerne om brandværnsforanstaltninger for forsamlingstelte og for festival-, salgs- og campingområder blev med ændring af byggeloven flyttet fra beredskabslovgivningen til byggeloven. De driftsmæssige krav til forsamlingstelte, festival-, salgs og campingområder reguleres derfor nu i kraft af byggeloven i BR15, kap. 1.3.5 og 1.3.6 samt ved funktionskrav i kapitel 5.1, stk. 4, og kap. 5.7. </w:t>
      </w:r>
    </w:p>
    <w:p w:rsidR="002D1BC9" w:rsidRPr="002D1BC9" w:rsidRDefault="002D1BC9" w:rsidP="002D1BC9">
      <w:r w:rsidRPr="002D1BC9">
        <w:t xml:space="preserve">Ændringen indebærer, at administration af de driftsmæssige krav til forsamlingstelte, festival-, salgs- og campingområder fremadrettet er omfattet af bygningsmyndighedens myndighedsopgave. Når transportable konstruktioner, festival-, salgs- eller campingområder anvendes af mere end 150 personer, eller er over en vis størrelse, udløser det krav om anmeldelse til eller godkendelse af kommunalbestyrelsen. </w:t>
      </w:r>
    </w:p>
    <w:p w:rsidR="00557CAC" w:rsidRDefault="00557CAC" w:rsidP="000028BA">
      <w:pPr>
        <w:rPr>
          <w:b/>
        </w:rPr>
      </w:pPr>
    </w:p>
    <w:p w:rsidR="000028BA" w:rsidRPr="000028BA" w:rsidRDefault="000028BA" w:rsidP="000028BA">
      <w:pPr>
        <w:rPr>
          <w:b/>
        </w:rPr>
      </w:pPr>
      <w:r w:rsidRPr="000028BA">
        <w:rPr>
          <w:b/>
        </w:rPr>
        <w:t>8.2 Camp</w:t>
      </w:r>
      <w:r>
        <w:rPr>
          <w:b/>
        </w:rPr>
        <w:t>ing-, festival- og salgsområder</w:t>
      </w:r>
    </w:p>
    <w:p w:rsidR="000028BA" w:rsidRDefault="000028BA" w:rsidP="000028BA">
      <w:r>
        <w:t xml:space="preserve">Camping-, festival- og salgsområder skal placeres, indrettes og bruges i overensstemmelse med det BR15, kap. 5.7. Festival-, salgsområder og campingområder skal således placeres, indrettes og bruges på en sådan måde, at en brand kan begrænses til det område, hvor branden er opstået. Spredning af brand og røg til andre områder, skal forhindres i den tid, som er nødvendig for evakuering og redningsberedskabets indsats. Bestemmelsen i kap. 5.7 er et funktionskrav. I afsnit XX </w:t>
      </w:r>
      <w:r>
        <w:rPr>
          <w:color w:val="00B0F0"/>
        </w:rPr>
        <w:t>(??)</w:t>
      </w:r>
      <w:r>
        <w:t xml:space="preserve"> i denne følger eksempler på overholdelse af funktionskravet.</w:t>
      </w:r>
    </w:p>
    <w:p w:rsidR="000028BA" w:rsidRDefault="000028BA" w:rsidP="000028BA">
      <w:r>
        <w:t>Såfremt der er tale om et kombineret camping-, festival- eller salgsområde, er det det samlede områdes areal, der er afgørende for, om der er krav om anmeldelse eller godkendelse efter bygningsreglementet. Hvis der er et kombineret camping- og salgsområde, vil der således være krav om kommunalbestyrelsens godkendelse, hvis det samlede areal er mere end 1.000 m².</w:t>
      </w:r>
    </w:p>
    <w:p w:rsidR="007C6D79" w:rsidRPr="007C6D79" w:rsidRDefault="007C6D79" w:rsidP="007C6D79">
      <w:pPr>
        <w:rPr>
          <w:b/>
        </w:rPr>
      </w:pPr>
      <w:r w:rsidRPr="007C6D79">
        <w:rPr>
          <w:b/>
        </w:rPr>
        <w:t>8.2.1 Campingområder</w:t>
      </w:r>
    </w:p>
    <w:p w:rsidR="007C6D79" w:rsidRDefault="007C6D79" w:rsidP="007C6D79">
      <w:r>
        <w:t>Campingområder på festivaler, spejderlejre, til sportsarrangementer og lign., hvor der opstilles mindre transportable konstruktioner til brug for overnatning til flere end 150 personer, skal placeres, indrettes og bruges i overensstemmelse med bygningsreglementets kapitel 5.7 for at forhindre brandspredning, jf. kap. 1.3.6.1, stk. 1. Her fremgår det, at festival-, salgsområder og campingområder skal placeres, indrettes og bruges på en sådan måde, at en brand kan begrænses til det område, hvor branden er opstået. Spredning af brand og røg til andre områder, skal forhindres i den tid, som er nødvendig for evakuering og redningsberedskabets indsats. Læs mere om reglerne for placering, indretning og brug af camping-, festival- og salgsområder i afsnit 4.6-4.8.</w:t>
      </w:r>
    </w:p>
    <w:p w:rsidR="007C6D79" w:rsidRDefault="007C6D79" w:rsidP="007C6D79">
      <w:r>
        <w:lastRenderedPageBreak/>
        <w:t>Campingpladser, der er omfattet af bekendtgørelse om tilladelse til udlejning af arealer til campering og om indretning og benyttelse af campingpladser (campingreglementet), er ikke omfattet af byggeloven og dermed heller ikke reglerne om placering, indretning og brug i bygningsreglementet.</w:t>
      </w:r>
    </w:p>
    <w:p w:rsidR="007C6D79" w:rsidRDefault="007C6D79" w:rsidP="007C6D79">
      <w:r>
        <w:t>Et campingområde til færre end 150 overnattende personer, er ikke omfattet af bestemmelsen, og der stilles således ikke krav efter kap. 5.7 til disse områder, jf. kap. 1.3.6.1, stk. 1.</w:t>
      </w:r>
    </w:p>
    <w:p w:rsidR="007C6D79" w:rsidRDefault="007C6D79" w:rsidP="007C6D79">
      <w:r>
        <w:t xml:space="preserve">Campingtelte til brug for overnatning skal ikke </w:t>
      </w:r>
      <w:proofErr w:type="spellStart"/>
      <w:r>
        <w:t>byggesagsbehandles</w:t>
      </w:r>
      <w:proofErr w:type="spellEnd"/>
      <w:r>
        <w:t xml:space="preserve"> og skal ikke leve op til andre krav i bygningsreglementet. Det er alene placering, indretning og brug af området, der er omfattet af bygningsreglementet – ikke de enkelte campingtelte.</w:t>
      </w:r>
    </w:p>
    <w:p w:rsidR="007C6D79" w:rsidRDefault="007C6D79" w:rsidP="007C6D79">
      <w:r>
        <w:t>Hvis der på et campingområde med et areal på mellem 1.000 m² og 3.000 m², opstilles campingtelte og lignende mindre, transportable konstruktioner til brug for overnatning til flere end 150 personer, skal det anmeldes til kommunalbestyrelsen, jf. kap. 1.3.6.1, stk. 2. Campingområdet skal placeres, indrettes og bruges i overensstemmelse med kapitel 5.7.</w:t>
      </w:r>
    </w:p>
    <w:p w:rsidR="007C6D79" w:rsidRDefault="007C6D79" w:rsidP="007C6D79">
      <w:r>
        <w:t>Campingområder, som har et samlet areal på over 3.000 m² til flere end 150 overnattende personer, skal have en godkendelse af kommunalbestyrelsen og skal placeres, indrettes og bruges i overensstemmelse med kapitel 5.7, jf. kap. 1.3.6.1, stk. 3.</w:t>
      </w:r>
    </w:p>
    <w:p w:rsidR="007C6D79" w:rsidRPr="007C6D79" w:rsidRDefault="007C6D79" w:rsidP="007C6D79">
      <w:pPr>
        <w:rPr>
          <w:b/>
        </w:rPr>
      </w:pPr>
      <w:r w:rsidRPr="007C6D79">
        <w:rPr>
          <w:b/>
        </w:rPr>
        <w:t>8.3 Brandsyn</w:t>
      </w:r>
    </w:p>
    <w:p w:rsidR="007C6D79" w:rsidRDefault="007C6D79" w:rsidP="007C6D79">
      <w:r>
        <w:t>Der skal fortsat foretages brandsyn efter bekendtgørelse om brandsyn og offentliggørelse af resultater af brandsyn i forsamlingslokaler.</w:t>
      </w:r>
    </w:p>
    <w:p w:rsidR="007C6D79" w:rsidRDefault="007C6D79" w:rsidP="007C6D79">
      <w:r>
        <w:t>Du skal også være opmærksom på, at ved afholdelse af koncert, festival eller en anden event, skal begivenheden anmeldes til politiet efter reglerne i bekendtgørelse om offentlige forlystelser.</w:t>
      </w:r>
    </w:p>
    <w:p w:rsidR="00124461" w:rsidRPr="00124461" w:rsidRDefault="00124461" w:rsidP="00124461">
      <w:pPr>
        <w:rPr>
          <w:b/>
          <w:sz w:val="28"/>
          <w:szCs w:val="28"/>
        </w:rPr>
      </w:pPr>
      <w:r w:rsidRPr="00124461">
        <w:rPr>
          <w:b/>
          <w:sz w:val="28"/>
          <w:szCs w:val="28"/>
        </w:rPr>
        <w:t>Del 2</w:t>
      </w:r>
    </w:p>
    <w:p w:rsidR="002D1BC9" w:rsidRPr="002D1BC9" w:rsidRDefault="002D1BC9" w:rsidP="002D1BC9">
      <w:r w:rsidRPr="002D1BC9">
        <w:rPr>
          <w:b/>
          <w:bCs/>
        </w:rPr>
        <w:t xml:space="preserve">4 Brandforhold </w:t>
      </w:r>
    </w:p>
    <w:p w:rsidR="002D1BC9" w:rsidRPr="002D1BC9" w:rsidRDefault="002D1BC9" w:rsidP="002D1BC9">
      <w:r w:rsidRPr="002D1BC9">
        <w:rPr>
          <w:b/>
          <w:bCs/>
        </w:rPr>
        <w:t xml:space="preserve">4.1 Indledning </w:t>
      </w:r>
    </w:p>
    <w:p w:rsidR="002D1BC9" w:rsidRPr="002D1BC9" w:rsidRDefault="002D1BC9" w:rsidP="002D1BC9">
      <w:r w:rsidRPr="002D1BC9">
        <w:t xml:space="preserve">Byggelovens brandbestemmelser tager udgangspunkt i personsikkerhed. Bestemmelserne skal sikre mulighed for evakuering af personer, hvilket også afspejles i bestemmelserne i BR15, kapitel 5, som vedrører brandforhold. </w:t>
      </w:r>
    </w:p>
    <w:p w:rsidR="002D1BC9" w:rsidRPr="002D1BC9" w:rsidRDefault="002D1BC9" w:rsidP="002D1BC9">
      <w:r w:rsidRPr="002D1BC9">
        <w:t xml:space="preserve">Bestemmelserne i BR15, kapitel 5, er funktionsbaserede brandkrav, der beskriver det sikkerhedsniveau, som i tilfælde af brand skal opnås. Dermed beskriver kravene intentionerne, men ikke hvordan kravene kan opfyldes. </w:t>
      </w:r>
    </w:p>
    <w:p w:rsidR="002D1BC9" w:rsidRPr="002D1BC9" w:rsidRDefault="002D1BC9" w:rsidP="002D1BC9">
      <w:r w:rsidRPr="002D1BC9">
        <w:t xml:space="preserve">Dette afsnit beskriver de relevante brandkrav for en række transportable konstruktioner, samt eksempler på hvorledes kravene kan opfyldes. Eksemplerne i denne vejledning er kun eksempler, og dokumentation af, at kravene opfyldes, kan til enhver tid foretages på anden vis. Dette kan fx ske ved brug af eksemplerne i </w:t>
      </w:r>
      <w:r w:rsidRPr="002D1BC9">
        <w:rPr>
          <w:i/>
          <w:iCs/>
        </w:rPr>
        <w:t>Eksempelsamling om brandsikring af byggeri, 2012, 2. udgave 2016</w:t>
      </w:r>
      <w:r w:rsidRPr="002D1BC9">
        <w:t xml:space="preserve">, en brandteknisk dimensionering baseret på de konkrete forhold, en brandprøvning, en konkret vurdering i det enkelte tilfælde baseret på erfaringer mv. </w:t>
      </w:r>
    </w:p>
    <w:p w:rsidR="002D1BC9" w:rsidRPr="002D1BC9" w:rsidRDefault="002D1BC9" w:rsidP="002D1BC9">
      <w:r w:rsidRPr="002D1BC9">
        <w:t xml:space="preserve">I det efterfølgende behandles de forskellige typer af transportable konstruktioner enkeltvis. Ved kombination af forskellige typer transportable konstruktioner kan der forekomme supplerende forhold, som må behandles individuelt, med mindre kombinationen direkte er behandlet i denne vejledning. </w:t>
      </w:r>
    </w:p>
    <w:p w:rsidR="002D1BC9" w:rsidRPr="002D1BC9" w:rsidRDefault="002D1BC9" w:rsidP="002D1BC9">
      <w:r w:rsidRPr="002D1BC9">
        <w:lastRenderedPageBreak/>
        <w:t xml:space="preserve">Der er supplerende forhold relateret til driften, som ligeledes skal håndteres, inden konstruktionen kan anvendes. Disse krav fremgår af BR15, kap. 5.1, stk. 4. </w:t>
      </w:r>
    </w:p>
    <w:p w:rsidR="002D1BC9" w:rsidRPr="002D1BC9" w:rsidRDefault="002D1BC9" w:rsidP="002D1BC9">
      <w:r w:rsidRPr="002D1BC9">
        <w:t xml:space="preserve">Desuden vil forsamlingstelte, selskabshuse, salgsområder og campingområder, der ikke er omfattet af campingreglementet være omfattet af beredskabsstyrelsens bekendtgørelse om brandsyn og offentliggørelse af resultater af brandsyn foretaget i forsamlingslokaler. </w:t>
      </w:r>
    </w:p>
    <w:p w:rsidR="00124461" w:rsidRPr="00124461" w:rsidRDefault="00124461" w:rsidP="00124461">
      <w:pPr>
        <w:rPr>
          <w:b/>
        </w:rPr>
      </w:pPr>
      <w:r w:rsidRPr="00124461">
        <w:rPr>
          <w:b/>
        </w:rPr>
        <w:t>4.8. Campingområder, som har et samlet areal på over 1.000 m², på festivaler og lignende, der benyttes af andre end medlemmer af spejderorganisationer, og som enten er bestemt til, eller som anvendes af flere end 150 overnattende personer, bortset fra campingpladser, der er omfattet af campingreglementet</w:t>
      </w:r>
    </w:p>
    <w:p w:rsidR="00124461" w:rsidRDefault="00124461" w:rsidP="00124461">
      <w:r>
        <w:t>Campingområder til flere end 150 overnattende personer skal placeres, indrettes og bruges i overensstemmelse med BR15, kapitel 5.7.</w:t>
      </w:r>
    </w:p>
    <w:p w:rsidR="00124461" w:rsidRDefault="00124461" w:rsidP="00124461">
      <w:r>
        <w:t>For campingområder på festivaler, markeder, dyrskuer og lign., som har et samlet areal på over 1.000 m2 til mere end 150 personer, skal der udarbejdes en oversigtsplan og detailkort, som skal fremsendes i forbindelse med anmeldelse til kommunalbestyrelsen.</w:t>
      </w:r>
    </w:p>
    <w:p w:rsidR="00124461" w:rsidRDefault="00124461" w:rsidP="00124461">
      <w:r>
        <w:t>For campingområder på festivaler, markeder, dyrskuer og lign. som har et samlet areal på over 3.000 m2 til mere end 150 personer skal der udarbejdes en oversigtsplan og detailkort, som skal fremsendes i forbindelse med godkendelse af kommunalbestyrelsen.</w:t>
      </w:r>
    </w:p>
    <w:p w:rsidR="00124461" w:rsidRDefault="00124461" w:rsidP="00124461">
      <w:r>
        <w:t>Oversigtsplanen skal tillige vise følgende:</w:t>
      </w:r>
    </w:p>
    <w:p w:rsidR="00124461" w:rsidRDefault="00124461" w:rsidP="00124461">
      <w:pPr>
        <w:pStyle w:val="Listeafsnit"/>
        <w:numPr>
          <w:ilvl w:val="0"/>
          <w:numId w:val="14"/>
        </w:numPr>
      </w:pPr>
      <w:r>
        <w:t>Placering af teltområder, caravanområder, servicefaciliteter</w:t>
      </w:r>
    </w:p>
    <w:p w:rsidR="00124461" w:rsidRDefault="00124461" w:rsidP="00124461">
      <w:pPr>
        <w:pStyle w:val="Listeafsnit"/>
        <w:numPr>
          <w:ilvl w:val="0"/>
          <w:numId w:val="14"/>
        </w:numPr>
      </w:pPr>
      <w:r>
        <w:t>Tilkørselsveje til pladsen.</w:t>
      </w:r>
    </w:p>
    <w:p w:rsidR="00124461" w:rsidRDefault="00124461" w:rsidP="00124461">
      <w:pPr>
        <w:pStyle w:val="Listeafsnit"/>
        <w:numPr>
          <w:ilvl w:val="0"/>
          <w:numId w:val="14"/>
        </w:numPr>
      </w:pPr>
      <w:r>
        <w:t>Arealer til redning og slukning, herunder friområder.</w:t>
      </w:r>
    </w:p>
    <w:p w:rsidR="00124461" w:rsidRDefault="00124461" w:rsidP="00124461">
      <w:pPr>
        <w:pStyle w:val="Listeafsnit"/>
        <w:numPr>
          <w:ilvl w:val="0"/>
          <w:numId w:val="14"/>
        </w:numPr>
      </w:pPr>
      <w:r>
        <w:t>De forskellige delområder, herunder områder, hvor der opstilles forsamlingstelte og selskabshuse, campingområder, serviceområder, parkeringsområder og scener med bagområder.</w:t>
      </w:r>
    </w:p>
    <w:p w:rsidR="00124461" w:rsidRDefault="00124461" w:rsidP="00124461">
      <w:pPr>
        <w:pStyle w:val="Listeafsnit"/>
        <w:numPr>
          <w:ilvl w:val="0"/>
          <w:numId w:val="14"/>
        </w:numPr>
      </w:pPr>
      <w:r>
        <w:t>Særligt udpegede områder i forbindelse med en evt. evakuering.</w:t>
      </w:r>
    </w:p>
    <w:p w:rsidR="00124461" w:rsidRDefault="00124461" w:rsidP="00124461">
      <w:r>
        <w:t>Detailkortet over delområder skal vise følgende:</w:t>
      </w:r>
    </w:p>
    <w:p w:rsidR="00124461" w:rsidRDefault="00124461" w:rsidP="00124461">
      <w:pPr>
        <w:pStyle w:val="Listeafsnit"/>
        <w:numPr>
          <w:ilvl w:val="0"/>
          <w:numId w:val="14"/>
        </w:numPr>
      </w:pPr>
      <w:r>
        <w:t>Flugtveje, herunder flugtvejsskiltes placering.</w:t>
      </w:r>
    </w:p>
    <w:p w:rsidR="00124461" w:rsidRDefault="00124461" w:rsidP="00124461">
      <w:pPr>
        <w:pStyle w:val="Listeafsnit"/>
        <w:numPr>
          <w:ilvl w:val="0"/>
          <w:numId w:val="14"/>
        </w:numPr>
      </w:pPr>
      <w:r>
        <w:t>Brandslukningsmateriel</w:t>
      </w:r>
    </w:p>
    <w:p w:rsidR="00124461" w:rsidRDefault="00124461" w:rsidP="00124461">
      <w:pPr>
        <w:pStyle w:val="Listeafsnit"/>
        <w:numPr>
          <w:ilvl w:val="0"/>
          <w:numId w:val="14"/>
        </w:numPr>
      </w:pPr>
      <w:r>
        <w:t>Brandveje og friområder</w:t>
      </w:r>
    </w:p>
    <w:p w:rsidR="00124461" w:rsidRDefault="00124461" w:rsidP="00124461">
      <w:pPr>
        <w:pStyle w:val="Listeafsnit"/>
        <w:numPr>
          <w:ilvl w:val="0"/>
          <w:numId w:val="14"/>
        </w:numPr>
      </w:pPr>
      <w:r>
        <w:t>Parkeringsarealer</w:t>
      </w:r>
    </w:p>
    <w:p w:rsidR="00124461" w:rsidRDefault="00124461" w:rsidP="00124461">
      <w:pPr>
        <w:pStyle w:val="Listeafsnit"/>
        <w:numPr>
          <w:ilvl w:val="0"/>
          <w:numId w:val="14"/>
        </w:numPr>
      </w:pPr>
      <w:r>
        <w:t xml:space="preserve">Placering og brug af kogeapparater, grill og lignende, bortset fra </w:t>
      </w:r>
      <w:proofErr w:type="spellStart"/>
      <w:r>
        <w:t>elkogeplader</w:t>
      </w:r>
      <w:proofErr w:type="spellEnd"/>
      <w:r>
        <w:t>, i og ved salgsboder</w:t>
      </w:r>
    </w:p>
    <w:p w:rsidR="00124461" w:rsidRDefault="00124461" w:rsidP="00124461">
      <w:pPr>
        <w:pStyle w:val="Listeafsnit"/>
        <w:numPr>
          <w:ilvl w:val="0"/>
          <w:numId w:val="14"/>
        </w:numPr>
      </w:pPr>
      <w:r>
        <w:t>Affaldscontainere</w:t>
      </w:r>
    </w:p>
    <w:p w:rsidR="00124461" w:rsidRDefault="00124461" w:rsidP="00124461">
      <w:pPr>
        <w:pStyle w:val="Listeafsnit"/>
        <w:numPr>
          <w:ilvl w:val="0"/>
          <w:numId w:val="14"/>
        </w:numPr>
      </w:pPr>
      <w:r>
        <w:t>Depoter for F-gas.</w:t>
      </w:r>
    </w:p>
    <w:p w:rsidR="00124461" w:rsidRDefault="00124461" w:rsidP="00124461">
      <w:pPr>
        <w:pStyle w:val="Listeafsnit"/>
        <w:numPr>
          <w:ilvl w:val="0"/>
          <w:numId w:val="14"/>
        </w:numPr>
      </w:pPr>
      <w:r>
        <w:t>Skel</w:t>
      </w:r>
    </w:p>
    <w:p w:rsidR="00124461" w:rsidRPr="00124461" w:rsidRDefault="00124461" w:rsidP="00124461">
      <w:pPr>
        <w:rPr>
          <w:b/>
        </w:rPr>
      </w:pPr>
      <w:r w:rsidRPr="00124461">
        <w:rPr>
          <w:b/>
        </w:rPr>
        <w:t>4.8.1 Opdeling af campingområder</w:t>
      </w:r>
    </w:p>
    <w:p w:rsidR="00124461" w:rsidRDefault="00124461" w:rsidP="00124461">
      <w:r>
        <w:t>Teltområder og caravanområder bør holdes adskilt.</w:t>
      </w:r>
    </w:p>
    <w:p w:rsidR="00124461" w:rsidRDefault="00124461" w:rsidP="00124461">
      <w:r>
        <w:t>Teltområder med mindre telte skal opdeles med mindst 5 m brede friområder for hvert felt på maksimalt 1.000 m².</w:t>
      </w:r>
    </w:p>
    <w:p w:rsidR="00124461" w:rsidRDefault="00124461" w:rsidP="00124461">
      <w:r>
        <w:t>Caravanområder skal opdeles med mindst 5 m brede friområder for hvert felt på maksimalt 1.000 m². Mellem de enkelte campingenheder skal der være en afstand på 3 m.</w:t>
      </w:r>
    </w:p>
    <w:p w:rsidR="00124461" w:rsidRDefault="00124461" w:rsidP="00124461">
      <w:r>
        <w:lastRenderedPageBreak/>
        <w:t>Kogepladser bør omgives af 10 m brede friområder på alle sider og let antændelig vegetation i og omkring kogepladsen fjernes.</w:t>
      </w:r>
    </w:p>
    <w:p w:rsidR="00124461" w:rsidRPr="00124461" w:rsidRDefault="00124461" w:rsidP="00124461">
      <w:pPr>
        <w:rPr>
          <w:b/>
        </w:rPr>
      </w:pPr>
      <w:r w:rsidRPr="00124461">
        <w:rPr>
          <w:b/>
        </w:rPr>
        <w:t>4.8.2 Installationer og brandslukningsmateriel</w:t>
      </w:r>
    </w:p>
    <w:p w:rsidR="00124461" w:rsidRDefault="00124461" w:rsidP="00124461">
      <w:r>
        <w:t>Såfremt et campingområde benyttes i tidsrummet mellem solnedgang og solopgang, og området er omgivet af hegn eller lignende, forsynes hver udgang fra området med belyste flugtvejsskilte.</w:t>
      </w:r>
    </w:p>
    <w:p w:rsidR="00124461" w:rsidRDefault="00124461" w:rsidP="00124461">
      <w:r>
        <w:t>I campingområder skal der være brandslukningsmateriel i et sådan omfang, at det er muligt at lave en acceptabel førsteindsats.</w:t>
      </w:r>
    </w:p>
    <w:p w:rsidR="00124461" w:rsidRDefault="00124461" w:rsidP="00124461">
      <w:r>
        <w:t>Håndildslukkere skal være i overensstemmelse med bekendtgørelse om indretning af trykbærende udstyr. Håndildslukkere, håndsprøjtebatterier, brandtæpper og branddasker skal tilses og vedligeholdes, således at de er funktionsdygtige. Håndildslukkere bør tilses mindst 1 gang om året og mærkes med en tilsynsetikette, der er påsat af den, der har foretaget tilsynet. År og måned for det sidste tilsyn skal fremgå af etiketten.</w:t>
      </w:r>
    </w:p>
    <w:p w:rsidR="00124461" w:rsidRDefault="00124461" w:rsidP="00124461">
      <w:r>
        <w:t>Brandslukningsmateriel skal anbringes synligt og være let tilgængeligt. Anbringelsesstederne skal afmærkes i overensstemmelse med bekendtgørelse om sikkerhedsskiltning og anden form for signalgivning.</w:t>
      </w:r>
    </w:p>
    <w:p w:rsidR="00124461" w:rsidRPr="00124461" w:rsidRDefault="00124461" w:rsidP="00124461">
      <w:pPr>
        <w:rPr>
          <w:b/>
        </w:rPr>
      </w:pPr>
      <w:r w:rsidRPr="00124461">
        <w:rPr>
          <w:b/>
        </w:rPr>
        <w:t>4.8.3 Ordensregler for campingområder</w:t>
      </w:r>
    </w:p>
    <w:p w:rsidR="00124461" w:rsidRDefault="00124461" w:rsidP="00124461">
      <w:pPr>
        <w:pStyle w:val="Listeafsnit"/>
        <w:numPr>
          <w:ilvl w:val="0"/>
          <w:numId w:val="18"/>
        </w:numPr>
      </w:pPr>
      <w:r>
        <w:t>Arrangøren eller den driftsansvarlige sørger for, at der altid er fornødent vagtpersonale til at sikre, at campingområdet indrettes i brandmæssigt forsvarligt.</w:t>
      </w:r>
    </w:p>
    <w:p w:rsidR="00124461" w:rsidRDefault="00124461" w:rsidP="00124461">
      <w:pPr>
        <w:pStyle w:val="Listeafsnit"/>
        <w:numPr>
          <w:ilvl w:val="0"/>
          <w:numId w:val="18"/>
        </w:numPr>
      </w:pPr>
      <w:r>
        <w:t>Vagtpersonalet bør være instrueret om placeringen og brugen af brandslukningsmateriellet og om, hvorledes redningsberedskabet alarmeres.</w:t>
      </w:r>
    </w:p>
    <w:p w:rsidR="00124461" w:rsidRDefault="00124461" w:rsidP="00124461">
      <w:pPr>
        <w:pStyle w:val="Listeafsnit"/>
        <w:numPr>
          <w:ilvl w:val="0"/>
          <w:numId w:val="18"/>
        </w:numPr>
      </w:pPr>
      <w:r>
        <w:t>Friområder bør holdes frie og ryddelige, herunder for parkerede køretøjer, telte m.v., i hele deres bredde, således at der sikres forsvarlige rednings- og slukningsmuligheder i tilfælde af brand.</w:t>
      </w:r>
    </w:p>
    <w:p w:rsidR="00124461" w:rsidRDefault="00124461" w:rsidP="00124461">
      <w:pPr>
        <w:pStyle w:val="Listeafsnit"/>
        <w:numPr>
          <w:ilvl w:val="0"/>
          <w:numId w:val="18"/>
        </w:numPr>
      </w:pPr>
      <w:r>
        <w:t>Brug af åben ild er forbudt undtagen på særligt indrettede områder.</w:t>
      </w:r>
    </w:p>
    <w:p w:rsidR="00124461" w:rsidRDefault="00124461" w:rsidP="00124461">
      <w:pPr>
        <w:pStyle w:val="Listeafsnit"/>
        <w:numPr>
          <w:ilvl w:val="0"/>
          <w:numId w:val="18"/>
        </w:numPr>
      </w:pPr>
      <w:r>
        <w:t xml:space="preserve">Brændbart affald anbringes i affaldscontainere af </w:t>
      </w:r>
      <w:proofErr w:type="spellStart"/>
      <w:r>
        <w:t>ubrændbart</w:t>
      </w:r>
      <w:proofErr w:type="spellEnd"/>
      <w:r>
        <w:t xml:space="preserve"> materiale. Affalds-containere bør tømmes mindst 1 gang om dagen.</w:t>
      </w:r>
    </w:p>
    <w:p w:rsidR="00124461" w:rsidRDefault="00124461" w:rsidP="00124461">
      <w:pPr>
        <w:pStyle w:val="Listeafsnit"/>
        <w:numPr>
          <w:ilvl w:val="0"/>
          <w:numId w:val="18"/>
        </w:numPr>
      </w:pPr>
      <w:r>
        <w:t>Motorkøretøjer bør ikke parkeres i teltområder.</w:t>
      </w:r>
    </w:p>
    <w:p w:rsidR="00124461" w:rsidRDefault="00124461" w:rsidP="00124461">
      <w:pPr>
        <w:pStyle w:val="Listeafsnit"/>
        <w:numPr>
          <w:ilvl w:val="0"/>
          <w:numId w:val="18"/>
        </w:numPr>
      </w:pPr>
      <w:r>
        <w:t>Møbler og lignende brændbare genstande bør ikke medbringes i campingområdet. Undtaget herfra er campingenheders faste installationer samt soveposer, liggeunderlag og andet letvægtsudstyr, der normalt anvendes i forbindelse med overnatning og ophold.</w:t>
      </w:r>
    </w:p>
    <w:p w:rsidR="00124461" w:rsidRDefault="00124461" w:rsidP="00124461">
      <w:pPr>
        <w:pStyle w:val="Listeafsnit"/>
        <w:numPr>
          <w:ilvl w:val="0"/>
          <w:numId w:val="18"/>
        </w:numPr>
      </w:pPr>
      <w:r>
        <w:t>Arrangøren eller den driftsansvarlige informerer om forbud mod afbrænding af bål, om at campingenheder kun må opstilles på de pladser, som er anvist, og om at affald skal anbringes i de affaldscontainere, der er opstillet i campingområdet.</w:t>
      </w:r>
    </w:p>
    <w:p w:rsidR="00124461" w:rsidRDefault="00124461" w:rsidP="00124461">
      <w:pPr>
        <w:pStyle w:val="Listeafsnit"/>
        <w:numPr>
          <w:ilvl w:val="0"/>
          <w:numId w:val="18"/>
        </w:numPr>
      </w:pPr>
      <w:r>
        <w:t>Såfremt informationen gives i form af opslag, skal disse udføres i overensstemmelse med Arbejdstilsynets bestemmelser om sikkerhedsskiltning.</w:t>
      </w:r>
    </w:p>
    <w:p w:rsidR="00124461" w:rsidRPr="00124461" w:rsidRDefault="00124461" w:rsidP="00124461">
      <w:pPr>
        <w:rPr>
          <w:b/>
        </w:rPr>
      </w:pPr>
      <w:r w:rsidRPr="00124461">
        <w:rPr>
          <w:b/>
        </w:rPr>
        <w:t>4.8.4 Campingområder, som har et samlet areal på over 50.000 m2, eller med flere end 2.500 overnattende personer</w:t>
      </w:r>
    </w:p>
    <w:p w:rsidR="00124461" w:rsidRDefault="00124461" w:rsidP="00124461">
      <w:r>
        <w:t>For campingområder, som har et samlet areal på over 50.000 m², eller med flere end 2.500 overnattende personer, bør der foretages en brandmæssig risikovurdering af, om der bør udføres yderligere brandværnsforanstaltninger, f.eks. krav om beredskabsplan, brandberedskab, yderligere opdeling af campingområder, særlige ordensregler m.v.</w:t>
      </w:r>
    </w:p>
    <w:p w:rsidR="00124461" w:rsidRPr="009928D8" w:rsidRDefault="00124461" w:rsidP="00124461">
      <w:pPr>
        <w:rPr>
          <w:b/>
          <w:sz w:val="28"/>
          <w:szCs w:val="28"/>
        </w:rPr>
      </w:pPr>
      <w:r w:rsidRPr="009928D8">
        <w:rPr>
          <w:b/>
          <w:sz w:val="28"/>
          <w:szCs w:val="28"/>
        </w:rPr>
        <w:t>4.9 Campingområder for medlemmer af spejderorganisationer</w:t>
      </w:r>
    </w:p>
    <w:p w:rsidR="00124461" w:rsidRDefault="00124461" w:rsidP="00124461">
      <w:r>
        <w:lastRenderedPageBreak/>
        <w:t>Dette afsnit omfatter campingområder, der benyttes af medlemmer af spejderorganisationer, og som enten er bestemt til, eller som anvendes af flere end 150 overnattende personer, bortset fra campingpladser, der er omfattet af campingreglementet.</w:t>
      </w:r>
    </w:p>
    <w:p w:rsidR="00124461" w:rsidRDefault="00124461" w:rsidP="00124461">
      <w:r>
        <w:t>Andre campingområder kan helt eller delvist indrettes i overensstemmelse med disse retningslinjer (f.eks. campingområder i forbindelse med idrætsarrangementer), når det skønnes, at benyttelsen af campingområderne indebærer en lignende brandrisiko.</w:t>
      </w:r>
    </w:p>
    <w:p w:rsidR="00124461" w:rsidRDefault="00124461" w:rsidP="00124461">
      <w:r>
        <w:t>Campingområder til flere end 150 overnattende personer skal placeres, indrettes og bruges i overensstemmelse med BR15, kapitel 5.7.</w:t>
      </w:r>
    </w:p>
    <w:p w:rsidR="00124461" w:rsidRDefault="00124461" w:rsidP="00124461">
      <w:r>
        <w:t>For campingområder, som har et samlet areal på over 1.000 m2 til mere end 150 personer, skal der udarbejdes en oversigtsplan og detailkort, som skal fremsendes i forbindelse med anmeldelse til kommunalbestyrelsen.</w:t>
      </w:r>
    </w:p>
    <w:p w:rsidR="00124461" w:rsidRDefault="00124461" w:rsidP="00124461">
      <w:r>
        <w:t>For campingområder på festivaler, markeder, dyreskuer og lign., som har et samlet areal på over 3.000 m2 til mere end 150 personer, skal der udarbejdes en oversigtsplan og detailkort, som skal fremsendes i forbindelse med godkendelse af kommunalbestyrelsen.</w:t>
      </w:r>
    </w:p>
    <w:p w:rsidR="00124461" w:rsidRDefault="00124461" w:rsidP="00124461">
      <w:r>
        <w:t>Oversigtsplanen skal tillige vise følgende:</w:t>
      </w:r>
    </w:p>
    <w:p w:rsidR="00124461" w:rsidRDefault="009928D8" w:rsidP="00124461">
      <w:pPr>
        <w:pStyle w:val="Listeafsnit"/>
        <w:numPr>
          <w:ilvl w:val="0"/>
          <w:numId w:val="18"/>
        </w:numPr>
      </w:pPr>
      <w:r>
        <w:t>P</w:t>
      </w:r>
      <w:r w:rsidR="00124461">
        <w:t>lacering af teltområder, caravanområder, servicefaciliteter</w:t>
      </w:r>
    </w:p>
    <w:p w:rsidR="00124461" w:rsidRDefault="00124461" w:rsidP="00124461">
      <w:pPr>
        <w:pStyle w:val="Listeafsnit"/>
        <w:numPr>
          <w:ilvl w:val="0"/>
          <w:numId w:val="18"/>
        </w:numPr>
      </w:pPr>
      <w:r>
        <w:t>Tilkørselsveje til pladsen.</w:t>
      </w:r>
    </w:p>
    <w:p w:rsidR="00124461" w:rsidRDefault="00124461" w:rsidP="00124461">
      <w:pPr>
        <w:pStyle w:val="Listeafsnit"/>
        <w:numPr>
          <w:ilvl w:val="0"/>
          <w:numId w:val="18"/>
        </w:numPr>
      </w:pPr>
      <w:r>
        <w:t>Arealer til redning og slukning, herunder friområder.</w:t>
      </w:r>
    </w:p>
    <w:p w:rsidR="00124461" w:rsidRDefault="00124461" w:rsidP="00124461">
      <w:pPr>
        <w:pStyle w:val="Listeafsnit"/>
        <w:numPr>
          <w:ilvl w:val="0"/>
          <w:numId w:val="18"/>
        </w:numPr>
      </w:pPr>
      <w:r>
        <w:t>De forskellige delområder, herunder områder, hvor der opstilles forsamlingstelte og selskabshuse, campingområder, serviceområder, parkeringsområder og scener med bagområder.</w:t>
      </w:r>
    </w:p>
    <w:p w:rsidR="00124461" w:rsidRDefault="00124461" w:rsidP="00124461">
      <w:pPr>
        <w:pStyle w:val="Listeafsnit"/>
        <w:numPr>
          <w:ilvl w:val="0"/>
          <w:numId w:val="18"/>
        </w:numPr>
      </w:pPr>
      <w:r>
        <w:t>Særligt udpegede områder i forbindelse med en evt. evakuering.</w:t>
      </w:r>
    </w:p>
    <w:p w:rsidR="00557CAC" w:rsidRDefault="00557CAC" w:rsidP="00124461"/>
    <w:p w:rsidR="00124461" w:rsidRDefault="00124461" w:rsidP="00124461">
      <w:r>
        <w:t>Detailkortet over delområder skal vise følgende:</w:t>
      </w:r>
    </w:p>
    <w:p w:rsidR="00124461" w:rsidRDefault="00124461" w:rsidP="009928D8">
      <w:pPr>
        <w:pStyle w:val="Listeafsnit"/>
        <w:numPr>
          <w:ilvl w:val="0"/>
          <w:numId w:val="18"/>
        </w:numPr>
      </w:pPr>
      <w:r>
        <w:t>Flugtveje, herunder flugtvejsskiltes placering.</w:t>
      </w:r>
    </w:p>
    <w:p w:rsidR="00124461" w:rsidRDefault="00124461" w:rsidP="009928D8">
      <w:pPr>
        <w:pStyle w:val="Listeafsnit"/>
        <w:numPr>
          <w:ilvl w:val="0"/>
          <w:numId w:val="18"/>
        </w:numPr>
      </w:pPr>
      <w:r>
        <w:t>Brandslukningsmateriel</w:t>
      </w:r>
    </w:p>
    <w:p w:rsidR="00124461" w:rsidRDefault="00124461" w:rsidP="009928D8">
      <w:pPr>
        <w:pStyle w:val="Listeafsnit"/>
        <w:numPr>
          <w:ilvl w:val="0"/>
          <w:numId w:val="18"/>
        </w:numPr>
      </w:pPr>
      <w:r>
        <w:t>Brandveje og friområder</w:t>
      </w:r>
    </w:p>
    <w:p w:rsidR="00124461" w:rsidRDefault="00124461" w:rsidP="009928D8">
      <w:pPr>
        <w:pStyle w:val="Listeafsnit"/>
        <w:numPr>
          <w:ilvl w:val="0"/>
          <w:numId w:val="18"/>
        </w:numPr>
      </w:pPr>
      <w:r>
        <w:t>Parkeringsarealer</w:t>
      </w:r>
    </w:p>
    <w:p w:rsidR="00124461" w:rsidRDefault="00124461" w:rsidP="009928D8">
      <w:pPr>
        <w:pStyle w:val="Listeafsnit"/>
        <w:numPr>
          <w:ilvl w:val="0"/>
          <w:numId w:val="18"/>
        </w:numPr>
      </w:pPr>
      <w:r>
        <w:t xml:space="preserve">Placering og brug af kogeapparater, grill og lignende, bortset fra </w:t>
      </w:r>
      <w:proofErr w:type="spellStart"/>
      <w:r>
        <w:t>elkogeplader</w:t>
      </w:r>
      <w:proofErr w:type="spellEnd"/>
      <w:r>
        <w:t>, i og ved salgsboder</w:t>
      </w:r>
    </w:p>
    <w:p w:rsidR="00124461" w:rsidRDefault="00124461" w:rsidP="009928D8">
      <w:pPr>
        <w:pStyle w:val="Listeafsnit"/>
        <w:numPr>
          <w:ilvl w:val="0"/>
          <w:numId w:val="18"/>
        </w:numPr>
      </w:pPr>
      <w:r>
        <w:t>Affaldscontainere.</w:t>
      </w:r>
    </w:p>
    <w:p w:rsidR="00124461" w:rsidRDefault="00124461" w:rsidP="009928D8">
      <w:pPr>
        <w:pStyle w:val="Listeafsnit"/>
        <w:numPr>
          <w:ilvl w:val="0"/>
          <w:numId w:val="18"/>
        </w:numPr>
      </w:pPr>
      <w:r>
        <w:t>Depoter for F-gas.</w:t>
      </w:r>
    </w:p>
    <w:p w:rsidR="00124461" w:rsidRDefault="00124461" w:rsidP="009928D8">
      <w:pPr>
        <w:pStyle w:val="Listeafsnit"/>
        <w:numPr>
          <w:ilvl w:val="0"/>
          <w:numId w:val="18"/>
        </w:numPr>
      </w:pPr>
      <w:r>
        <w:t>Skel</w:t>
      </w:r>
    </w:p>
    <w:p w:rsidR="00124461" w:rsidRDefault="00124461" w:rsidP="00124461">
      <w:r>
        <w:t>Campingområder, som har et samlet areal på højst 3.000 m2 skal placeres, indrettes og benyttes i overensstemmelse med reglerne i afsnit 1.2, 6.3 og 6.4, og kræver ikke en brandmæssig godkendelse.</w:t>
      </w:r>
    </w:p>
    <w:p w:rsidR="00124461" w:rsidRPr="009928D8" w:rsidRDefault="00124461" w:rsidP="00124461">
      <w:pPr>
        <w:rPr>
          <w:b/>
        </w:rPr>
      </w:pPr>
      <w:r w:rsidRPr="009928D8">
        <w:rPr>
          <w:b/>
        </w:rPr>
        <w:t>4.9.1 Opdeling af campingområder, som har et samlet areal på højst 3.000 m2</w:t>
      </w:r>
    </w:p>
    <w:p w:rsidR="00124461" w:rsidRDefault="00124461" w:rsidP="00124461">
      <w:r>
        <w:t>Telte skal opstilles i en indbyrdes afstand af mindst 3 m ell</w:t>
      </w:r>
      <w:r w:rsidR="009928D8">
        <w:t>er i klynger med højst 8 telte.</w:t>
      </w:r>
    </w:p>
    <w:p w:rsidR="00124461" w:rsidRDefault="00124461" w:rsidP="00124461">
      <w:r>
        <w:t>Mellem klynger af telte bør der være mindst 2 m brede friområder regnet fra bardun til bardun. Såfremt der er tale om telte med en højde, der er mere end 2 m, bør der være et fri-område mellem teltene, der mindst svarer til højden af det højeste telt. Friområdet skal regnes fra bardun til bardun.</w:t>
      </w:r>
    </w:p>
    <w:p w:rsidR="00124461" w:rsidRDefault="00124461" w:rsidP="00124461">
      <w:r>
        <w:lastRenderedPageBreak/>
        <w:t>Bål kan afbrændes i samlingstelte, der er specielt konstrueret hertil (f.eks. tipi). Kogebål, mindre lejrbål, kogeapparater, og lignende kan i øvrigt holdes i en afstand af mindst 3 m fra nærmeste telt regnet fra bardun til bålpladsens eller ildstedets ramme. Kogeapparater kan anvendes i eller ved teltene.</w:t>
      </w:r>
    </w:p>
    <w:p w:rsidR="009928D8" w:rsidRPr="009928D8" w:rsidRDefault="009928D8" w:rsidP="009928D8">
      <w:pPr>
        <w:rPr>
          <w:b/>
        </w:rPr>
      </w:pPr>
      <w:r w:rsidRPr="009928D8">
        <w:rPr>
          <w:b/>
        </w:rPr>
        <w:t>4.9.2 Opdeling af campingområder, som har et samlet areal på mere end 3.000 m2</w:t>
      </w:r>
    </w:p>
    <w:p w:rsidR="009928D8" w:rsidRDefault="009928D8" w:rsidP="009928D8">
      <w:r>
        <w:t>Teltområder med mindre telte skal opdeles med mindst 10 m brede friområder for hvert felt på maksimalt 3.000 m² eller med mindst 7 m brede friområder for hvert felt på maksimalt 2.000 m².</w:t>
      </w:r>
    </w:p>
    <w:p w:rsidR="009928D8" w:rsidRDefault="009928D8" w:rsidP="009928D8">
      <w:r>
        <w:t>Telte inden for felterne skal opstilles med en indbyrdes afstand af mindst 3 m eller i klynger med højst 8 telte.</w:t>
      </w:r>
    </w:p>
    <w:p w:rsidR="009928D8" w:rsidRDefault="009928D8" w:rsidP="009928D8">
      <w:r>
        <w:t>Mellem klynger af telte skal der være mindst 2 m brede friområder regnet fra bardun til bardun. Såfremt der er tale om telte med en højde, der er mere end 2 m, skal der være et friområde mellem teltene, der mindst svarer til højden af det højeste telt. Friområdet skal regnes fra bardun til bardun.</w:t>
      </w:r>
    </w:p>
    <w:p w:rsidR="009928D8" w:rsidRPr="009928D8" w:rsidRDefault="009928D8" w:rsidP="009928D8">
      <w:pPr>
        <w:rPr>
          <w:b/>
        </w:rPr>
      </w:pPr>
      <w:r w:rsidRPr="009928D8">
        <w:rPr>
          <w:b/>
        </w:rPr>
        <w:t>4.9.3 Installationer og brandslukningsmateriel</w:t>
      </w:r>
    </w:p>
    <w:p w:rsidR="009928D8" w:rsidRDefault="009928D8" w:rsidP="009928D8">
      <w:r>
        <w:t>I campingområder skal der være brandslukningsmateriel i et sådan omfang, at det er muligt at lave en acceptabel førsteindsats.</w:t>
      </w:r>
    </w:p>
    <w:p w:rsidR="009928D8" w:rsidRDefault="009928D8" w:rsidP="009928D8">
      <w:r>
        <w:t>Pr. klynge med højst 8 telte bør der være en branddasker og et håndsprøjtebatteri med 2 x 10 l vand eller andet tilsvarende håndslukningsudstyr med pulver, skum eller vand.</w:t>
      </w:r>
    </w:p>
    <w:p w:rsidR="009928D8" w:rsidRDefault="009928D8" w:rsidP="009928D8">
      <w:r>
        <w:t>Brandslukningsmateriel skal anbringes synligt og være let tilgængeligt. Anbringelsesstederne skal afmærkes i overensstemmelse med bekendtgørelse om sikkerhedsskiltning og anden form for signalgivning.</w:t>
      </w:r>
    </w:p>
    <w:p w:rsidR="009928D8" w:rsidRDefault="009928D8" w:rsidP="009928D8">
      <w:r>
        <w:t>Håndsprøjtebatterier, brandtæpper og branddasker skal vedligeholdes, således at de er funktionsdygtige.</w:t>
      </w:r>
    </w:p>
    <w:p w:rsidR="009928D8" w:rsidRDefault="009928D8" w:rsidP="009928D8">
      <w:r>
        <w:t>Håndildslukkere skal være i overensstemmelse med bekendtgørelse om indretning af trykbærende udstyr. Håndildslukkere, håndsprøjtebatterier, brandtæpper og branddasker skal tilses og vedligeholdes, således at de er funktionsdygtige. Håndildslukkere bør tilses mindst 1 gang om året og mærkes med en tilsynsetikette, der er påsat af den, der har foretaget tilsynet. År og måned for det sidste tilsyn skal fremgå af etiketten.</w:t>
      </w:r>
    </w:p>
    <w:p w:rsidR="009928D8" w:rsidRDefault="009928D8" w:rsidP="009928D8">
      <w:r>
        <w:t>Brandslukningsmateriel skal anbringes synligt og være let tilgængeligt. Anbringelsesstederne skal afmærkes i overensstemmelse med bekendtgørelse om sikkerhedsskiltning og anden form for signalgivning.</w:t>
      </w:r>
    </w:p>
    <w:p w:rsidR="009928D8" w:rsidRPr="009928D8" w:rsidRDefault="009928D8" w:rsidP="009928D8">
      <w:pPr>
        <w:rPr>
          <w:b/>
        </w:rPr>
      </w:pPr>
      <w:r w:rsidRPr="009928D8">
        <w:rPr>
          <w:b/>
        </w:rPr>
        <w:t>4.9.4 Ordensregler</w:t>
      </w:r>
    </w:p>
    <w:p w:rsidR="009928D8" w:rsidRPr="009928D8" w:rsidRDefault="009928D8" w:rsidP="009928D8">
      <w:pPr>
        <w:pStyle w:val="Listeafsnit"/>
        <w:numPr>
          <w:ilvl w:val="0"/>
          <w:numId w:val="21"/>
        </w:numPr>
        <w:rPr>
          <w:color w:val="00B0F0"/>
        </w:rPr>
      </w:pPr>
      <w:r>
        <w:t xml:space="preserve">Arrangøren eller den driftsansvarlige bør sørge for, at der altid er fornødent vagtmandskab til at sikre, at campingområdet indrettes i overensstemmelse med reglerne i </w:t>
      </w:r>
      <w:r w:rsidRPr="009928D8">
        <w:rPr>
          <w:color w:val="00B0F0"/>
        </w:rPr>
        <w:t>punkterne 6.5.1, og at ordensreglerne i litra b – d overholdes.</w:t>
      </w:r>
      <w:proofErr w:type="gramStart"/>
      <w:r>
        <w:rPr>
          <w:color w:val="00B0F0"/>
        </w:rPr>
        <w:t>??????</w:t>
      </w:r>
      <w:proofErr w:type="gramEnd"/>
      <w:r>
        <w:rPr>
          <w:color w:val="00B0F0"/>
        </w:rPr>
        <w:t xml:space="preserve"> </w:t>
      </w:r>
      <w:r w:rsidRPr="009928D8">
        <w:rPr>
          <w:color w:val="00B0F0"/>
          <w:highlight w:val="yellow"/>
        </w:rPr>
        <w:t xml:space="preserve">Fra </w:t>
      </w:r>
      <w:proofErr w:type="spellStart"/>
      <w:r w:rsidRPr="009928D8">
        <w:rPr>
          <w:color w:val="00B0F0"/>
          <w:highlight w:val="yellow"/>
        </w:rPr>
        <w:t>bktg</w:t>
      </w:r>
      <w:proofErr w:type="spellEnd"/>
      <w:r w:rsidRPr="009928D8">
        <w:rPr>
          <w:color w:val="00B0F0"/>
          <w:highlight w:val="yellow"/>
        </w:rPr>
        <w:t>. 1382 af 15.12.2014</w:t>
      </w:r>
    </w:p>
    <w:p w:rsidR="009928D8" w:rsidRDefault="009928D8" w:rsidP="009928D8">
      <w:pPr>
        <w:pStyle w:val="Listeafsnit"/>
        <w:numPr>
          <w:ilvl w:val="0"/>
          <w:numId w:val="21"/>
        </w:numPr>
      </w:pPr>
      <w:r>
        <w:t>Vagtpersonalet bør være instrueret om placeringen og brugen af brandslukningsmateriellet og om, hvorledes redningsberedskabet alarmeres.</w:t>
      </w:r>
    </w:p>
    <w:p w:rsidR="009928D8" w:rsidRDefault="009928D8" w:rsidP="009928D8">
      <w:pPr>
        <w:pStyle w:val="Listeafsnit"/>
        <w:numPr>
          <w:ilvl w:val="0"/>
          <w:numId w:val="21"/>
        </w:numPr>
      </w:pPr>
      <w:r>
        <w:t>Friområder holdes frie og ryddelige, herunder for parkerede køretøjer, telte m.v., i hele deres bredde, således at der sikres forsvarlige rednings- og slukningsmuligheder i tilfælde af brand.</w:t>
      </w:r>
    </w:p>
    <w:p w:rsidR="009928D8" w:rsidRDefault="009928D8" w:rsidP="009928D8">
      <w:pPr>
        <w:pStyle w:val="Listeafsnit"/>
        <w:numPr>
          <w:ilvl w:val="0"/>
          <w:numId w:val="21"/>
        </w:numPr>
      </w:pPr>
      <w:r>
        <w:t xml:space="preserve">Brændbart affald skal anbringes i affaldscontainere af </w:t>
      </w:r>
      <w:proofErr w:type="spellStart"/>
      <w:r>
        <w:t>ubrændbart</w:t>
      </w:r>
      <w:proofErr w:type="spellEnd"/>
      <w:r>
        <w:t xml:space="preserve"> materiale. Affaldscontainere skal tømmes mindst 1 gang om dagen.</w:t>
      </w:r>
    </w:p>
    <w:p w:rsidR="009928D8" w:rsidRDefault="009928D8" w:rsidP="009928D8">
      <w:pPr>
        <w:pStyle w:val="Listeafsnit"/>
        <w:numPr>
          <w:ilvl w:val="0"/>
          <w:numId w:val="21"/>
        </w:numPr>
      </w:pPr>
      <w:r>
        <w:t>Motorkøretøjer må ikke parkeres i teltområder.</w:t>
      </w:r>
    </w:p>
    <w:p w:rsidR="009928D8" w:rsidRPr="009928D8" w:rsidRDefault="009928D8" w:rsidP="009928D8">
      <w:pPr>
        <w:rPr>
          <w:b/>
        </w:rPr>
      </w:pPr>
      <w:r w:rsidRPr="009928D8">
        <w:rPr>
          <w:b/>
        </w:rPr>
        <w:t>4.</w:t>
      </w:r>
      <w:r w:rsidR="00FB7010" w:rsidRPr="00FB7010">
        <w:rPr>
          <w:b/>
          <w:color w:val="00B0F0"/>
        </w:rPr>
        <w:t>9</w:t>
      </w:r>
      <w:r w:rsidRPr="009928D8">
        <w:rPr>
          <w:b/>
        </w:rPr>
        <w:t>.5 Campingområder, som har et samlet areal på over 50.000 m2, eller med flere end 2.500 overnattende personer</w:t>
      </w:r>
    </w:p>
    <w:p w:rsidR="009928D8" w:rsidRDefault="009928D8" w:rsidP="009928D8">
      <w:r>
        <w:lastRenderedPageBreak/>
        <w:t>For campingområder, som har et samlet areal på over 50.000 m², eller som anvendes af flere end 2.500 overnattende personer, kan kommunalbestyrelsen efter en brandmæssig risikovurdering stille yderligere krav til brandværnsforanstaltninger, f.eks. krav om beredskabsplan, brandberedskab, yderligere opdeling af campingområder, særlige ordensregler m.v.</w:t>
      </w:r>
    </w:p>
    <w:sectPr w:rsidR="009928D8" w:rsidSect="00626AB6">
      <w:pgSz w:w="11906" w:h="16838"/>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45F"/>
    <w:multiLevelType w:val="hybridMultilevel"/>
    <w:tmpl w:val="C3B8F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81597A"/>
    <w:multiLevelType w:val="hybridMultilevel"/>
    <w:tmpl w:val="CA0CC348"/>
    <w:lvl w:ilvl="0" w:tplc="6206EF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7A5552A"/>
    <w:multiLevelType w:val="hybridMultilevel"/>
    <w:tmpl w:val="F77A9422"/>
    <w:lvl w:ilvl="0" w:tplc="62DAB48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EE57CB"/>
    <w:multiLevelType w:val="hybridMultilevel"/>
    <w:tmpl w:val="CF708C82"/>
    <w:lvl w:ilvl="0" w:tplc="6206EF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CAE03BA"/>
    <w:multiLevelType w:val="hybridMultilevel"/>
    <w:tmpl w:val="2C16A950"/>
    <w:lvl w:ilvl="0" w:tplc="62DAB48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8D17EB"/>
    <w:multiLevelType w:val="hybridMultilevel"/>
    <w:tmpl w:val="A7BED2A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2E7041F2"/>
    <w:multiLevelType w:val="hybridMultilevel"/>
    <w:tmpl w:val="B16AA2AA"/>
    <w:lvl w:ilvl="0" w:tplc="DBC6F0B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080680B"/>
    <w:multiLevelType w:val="hybridMultilevel"/>
    <w:tmpl w:val="958820D4"/>
    <w:lvl w:ilvl="0" w:tplc="DBC6F0B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1C80830"/>
    <w:multiLevelType w:val="hybridMultilevel"/>
    <w:tmpl w:val="A588F14A"/>
    <w:lvl w:ilvl="0" w:tplc="62DAB48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24B3497"/>
    <w:multiLevelType w:val="hybridMultilevel"/>
    <w:tmpl w:val="B7A23E7A"/>
    <w:lvl w:ilvl="0" w:tplc="62DAB48A">
      <w:numFmt w:val="bullet"/>
      <w:lvlText w:val="•"/>
      <w:lvlJc w:val="left"/>
      <w:pPr>
        <w:ind w:left="720" w:hanging="360"/>
      </w:pPr>
      <w:rPr>
        <w:rFonts w:ascii="Calibri" w:eastAsiaTheme="minorHAnsi" w:hAnsi="Calibri" w:cstheme="minorBidi" w:hint="default"/>
      </w:rPr>
    </w:lvl>
    <w:lvl w:ilvl="1" w:tplc="62783062">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38E10E5"/>
    <w:multiLevelType w:val="hybridMultilevel"/>
    <w:tmpl w:val="BC8CCF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3E9403A"/>
    <w:multiLevelType w:val="hybridMultilevel"/>
    <w:tmpl w:val="EDCC38B0"/>
    <w:lvl w:ilvl="0" w:tplc="B2480E2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4902850"/>
    <w:multiLevelType w:val="hybridMultilevel"/>
    <w:tmpl w:val="75CEB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098479F"/>
    <w:multiLevelType w:val="hybridMultilevel"/>
    <w:tmpl w:val="499EAC9E"/>
    <w:lvl w:ilvl="0" w:tplc="62DAB48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3F30C00"/>
    <w:multiLevelType w:val="hybridMultilevel"/>
    <w:tmpl w:val="26DE8546"/>
    <w:lvl w:ilvl="0" w:tplc="62DAB48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4365FFB"/>
    <w:multiLevelType w:val="hybridMultilevel"/>
    <w:tmpl w:val="CD9A1B5E"/>
    <w:lvl w:ilvl="0" w:tplc="62DAB48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A280AA6"/>
    <w:multiLevelType w:val="hybridMultilevel"/>
    <w:tmpl w:val="7F882D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20A76FA"/>
    <w:multiLevelType w:val="hybridMultilevel"/>
    <w:tmpl w:val="58AC2686"/>
    <w:lvl w:ilvl="0" w:tplc="6206EF8E">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nsid w:val="671F563C"/>
    <w:multiLevelType w:val="hybridMultilevel"/>
    <w:tmpl w:val="9B8E2DA6"/>
    <w:lvl w:ilvl="0" w:tplc="C3787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BB41483"/>
    <w:multiLevelType w:val="hybridMultilevel"/>
    <w:tmpl w:val="2688BBBC"/>
    <w:lvl w:ilvl="0" w:tplc="62DAB48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C1B0A05"/>
    <w:multiLevelType w:val="hybridMultilevel"/>
    <w:tmpl w:val="0AAA9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8C4401B"/>
    <w:multiLevelType w:val="hybridMultilevel"/>
    <w:tmpl w:val="13B671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5"/>
  </w:num>
  <w:num w:numId="5">
    <w:abstractNumId w:val="10"/>
  </w:num>
  <w:num w:numId="6">
    <w:abstractNumId w:val="3"/>
  </w:num>
  <w:num w:numId="7">
    <w:abstractNumId w:val="12"/>
  </w:num>
  <w:num w:numId="8">
    <w:abstractNumId w:val="0"/>
  </w:num>
  <w:num w:numId="9">
    <w:abstractNumId w:val="20"/>
  </w:num>
  <w:num w:numId="10">
    <w:abstractNumId w:val="6"/>
  </w:num>
  <w:num w:numId="11">
    <w:abstractNumId w:val="7"/>
  </w:num>
  <w:num w:numId="12">
    <w:abstractNumId w:val="21"/>
  </w:num>
  <w:num w:numId="13">
    <w:abstractNumId w:val="9"/>
  </w:num>
  <w:num w:numId="14">
    <w:abstractNumId w:val="13"/>
  </w:num>
  <w:num w:numId="15">
    <w:abstractNumId w:val="2"/>
  </w:num>
  <w:num w:numId="16">
    <w:abstractNumId w:val="14"/>
  </w:num>
  <w:num w:numId="17">
    <w:abstractNumId w:val="11"/>
  </w:num>
  <w:num w:numId="18">
    <w:abstractNumId w:val="15"/>
  </w:num>
  <w:num w:numId="19">
    <w:abstractNumId w:val="4"/>
  </w:num>
  <w:num w:numId="20">
    <w:abstractNumId w:val="8"/>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A7"/>
    <w:rsid w:val="000028BA"/>
    <w:rsid w:val="000372F9"/>
    <w:rsid w:val="00106162"/>
    <w:rsid w:val="00124461"/>
    <w:rsid w:val="001F055D"/>
    <w:rsid w:val="002D1BC9"/>
    <w:rsid w:val="002F75A7"/>
    <w:rsid w:val="00516F18"/>
    <w:rsid w:val="00520BB5"/>
    <w:rsid w:val="00557CAC"/>
    <w:rsid w:val="00570446"/>
    <w:rsid w:val="00626AB6"/>
    <w:rsid w:val="00642F95"/>
    <w:rsid w:val="007C6D79"/>
    <w:rsid w:val="007E3B49"/>
    <w:rsid w:val="009928D8"/>
    <w:rsid w:val="009A2002"/>
    <w:rsid w:val="00A041A4"/>
    <w:rsid w:val="00A15540"/>
    <w:rsid w:val="00A24D99"/>
    <w:rsid w:val="00B913DC"/>
    <w:rsid w:val="00F05102"/>
    <w:rsid w:val="00FB70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41A4"/>
    <w:pPr>
      <w:ind w:left="720"/>
      <w:contextualSpacing/>
    </w:pPr>
  </w:style>
  <w:style w:type="paragraph" w:styleId="Markeringsbobletekst">
    <w:name w:val="Balloon Text"/>
    <w:basedOn w:val="Normal"/>
    <w:link w:val="MarkeringsbobletekstTegn"/>
    <w:uiPriority w:val="99"/>
    <w:semiHidden/>
    <w:unhideWhenUsed/>
    <w:rsid w:val="000372F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372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41A4"/>
    <w:pPr>
      <w:ind w:left="720"/>
      <w:contextualSpacing/>
    </w:pPr>
  </w:style>
  <w:style w:type="paragraph" w:styleId="Markeringsbobletekst">
    <w:name w:val="Balloon Text"/>
    <w:basedOn w:val="Normal"/>
    <w:link w:val="MarkeringsbobletekstTegn"/>
    <w:uiPriority w:val="99"/>
    <w:semiHidden/>
    <w:unhideWhenUsed/>
    <w:rsid w:val="000372F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37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8096">
      <w:bodyDiv w:val="1"/>
      <w:marLeft w:val="0"/>
      <w:marRight w:val="0"/>
      <w:marTop w:val="0"/>
      <w:marBottom w:val="0"/>
      <w:divBdr>
        <w:top w:val="none" w:sz="0" w:space="0" w:color="auto"/>
        <w:left w:val="none" w:sz="0" w:space="0" w:color="auto"/>
        <w:bottom w:val="none" w:sz="0" w:space="0" w:color="auto"/>
        <w:right w:val="none" w:sz="0" w:space="0" w:color="auto"/>
      </w:divBdr>
      <w:divsChild>
        <w:div w:id="627855603">
          <w:marLeft w:val="0"/>
          <w:marRight w:val="0"/>
          <w:marTop w:val="0"/>
          <w:marBottom w:val="0"/>
          <w:divBdr>
            <w:top w:val="none" w:sz="0" w:space="0" w:color="auto"/>
            <w:left w:val="none" w:sz="0" w:space="0" w:color="auto"/>
            <w:bottom w:val="none" w:sz="0" w:space="0" w:color="auto"/>
            <w:right w:val="none" w:sz="0" w:space="0" w:color="auto"/>
          </w:divBdr>
          <w:divsChild>
            <w:div w:id="1079524207">
              <w:marLeft w:val="0"/>
              <w:marRight w:val="0"/>
              <w:marTop w:val="0"/>
              <w:marBottom w:val="0"/>
              <w:divBdr>
                <w:top w:val="none" w:sz="0" w:space="0" w:color="auto"/>
                <w:left w:val="none" w:sz="0" w:space="0" w:color="auto"/>
                <w:bottom w:val="none" w:sz="0" w:space="0" w:color="auto"/>
                <w:right w:val="none" w:sz="0" w:space="0" w:color="auto"/>
              </w:divBdr>
              <w:divsChild>
                <w:div w:id="1071657435">
                  <w:marLeft w:val="0"/>
                  <w:marRight w:val="0"/>
                  <w:marTop w:val="0"/>
                  <w:marBottom w:val="0"/>
                  <w:divBdr>
                    <w:top w:val="none" w:sz="0" w:space="0" w:color="auto"/>
                    <w:left w:val="none" w:sz="0" w:space="0" w:color="auto"/>
                    <w:bottom w:val="none" w:sz="0" w:space="0" w:color="auto"/>
                    <w:right w:val="none" w:sz="0" w:space="0" w:color="auto"/>
                  </w:divBdr>
                  <w:divsChild>
                    <w:div w:id="1682318814">
                      <w:marLeft w:val="0"/>
                      <w:marRight w:val="0"/>
                      <w:marTop w:val="0"/>
                      <w:marBottom w:val="0"/>
                      <w:divBdr>
                        <w:top w:val="none" w:sz="0" w:space="0" w:color="auto"/>
                        <w:left w:val="none" w:sz="0" w:space="0" w:color="auto"/>
                        <w:bottom w:val="none" w:sz="0" w:space="0" w:color="auto"/>
                        <w:right w:val="none" w:sz="0" w:space="0" w:color="auto"/>
                      </w:divBdr>
                      <w:divsChild>
                        <w:div w:id="1470632343">
                          <w:marLeft w:val="0"/>
                          <w:marRight w:val="0"/>
                          <w:marTop w:val="0"/>
                          <w:marBottom w:val="0"/>
                          <w:divBdr>
                            <w:top w:val="none" w:sz="0" w:space="0" w:color="auto"/>
                            <w:left w:val="none" w:sz="0" w:space="0" w:color="auto"/>
                            <w:bottom w:val="none" w:sz="0" w:space="0" w:color="auto"/>
                            <w:right w:val="none" w:sz="0" w:space="0" w:color="auto"/>
                          </w:divBdr>
                          <w:divsChild>
                            <w:div w:id="2082286354">
                              <w:marLeft w:val="0"/>
                              <w:marRight w:val="0"/>
                              <w:marTop w:val="0"/>
                              <w:marBottom w:val="0"/>
                              <w:divBdr>
                                <w:top w:val="none" w:sz="0" w:space="0" w:color="auto"/>
                                <w:left w:val="none" w:sz="0" w:space="0" w:color="auto"/>
                                <w:bottom w:val="none" w:sz="0" w:space="0" w:color="auto"/>
                                <w:right w:val="none" w:sz="0" w:space="0" w:color="auto"/>
                              </w:divBdr>
                              <w:divsChild>
                                <w:div w:id="546180550">
                                  <w:marLeft w:val="0"/>
                                  <w:marRight w:val="0"/>
                                  <w:marTop w:val="225"/>
                                  <w:marBottom w:val="0"/>
                                  <w:divBdr>
                                    <w:top w:val="single" w:sz="2" w:space="13" w:color="C7C3BB"/>
                                    <w:left w:val="single" w:sz="2" w:space="13" w:color="C7C3BB"/>
                                    <w:bottom w:val="single" w:sz="2" w:space="13" w:color="C7C3BB"/>
                                    <w:right w:val="single" w:sz="2" w:space="13" w:color="C7C3BB"/>
                                  </w:divBdr>
                                  <w:divsChild>
                                    <w:div w:id="32964609">
                                      <w:marLeft w:val="0"/>
                                      <w:marRight w:val="0"/>
                                      <w:marTop w:val="0"/>
                                      <w:marBottom w:val="0"/>
                                      <w:divBdr>
                                        <w:top w:val="none" w:sz="0" w:space="0" w:color="auto"/>
                                        <w:left w:val="none" w:sz="0" w:space="0" w:color="auto"/>
                                        <w:bottom w:val="none" w:sz="0" w:space="0" w:color="auto"/>
                                        <w:right w:val="none" w:sz="0" w:space="0" w:color="auto"/>
                                      </w:divBdr>
                                      <w:divsChild>
                                        <w:div w:id="1853059610">
                                          <w:marLeft w:val="0"/>
                                          <w:marRight w:val="0"/>
                                          <w:marTop w:val="0"/>
                                          <w:marBottom w:val="0"/>
                                          <w:divBdr>
                                            <w:top w:val="none" w:sz="0" w:space="0" w:color="auto"/>
                                            <w:left w:val="none" w:sz="0" w:space="0" w:color="auto"/>
                                            <w:bottom w:val="none" w:sz="0" w:space="0" w:color="auto"/>
                                            <w:right w:val="none" w:sz="0" w:space="0" w:color="auto"/>
                                          </w:divBdr>
                                          <w:divsChild>
                                            <w:div w:id="325941233">
                                              <w:marLeft w:val="0"/>
                                              <w:marRight w:val="0"/>
                                              <w:marTop w:val="0"/>
                                              <w:marBottom w:val="0"/>
                                              <w:divBdr>
                                                <w:top w:val="single" w:sz="6" w:space="4" w:color="CB3F23"/>
                                                <w:left w:val="none" w:sz="0" w:space="0" w:color="auto"/>
                                                <w:bottom w:val="single" w:sz="6" w:space="4" w:color="CB3F23"/>
                                                <w:right w:val="none" w:sz="0" w:space="0" w:color="auto"/>
                                              </w:divBdr>
                                            </w:div>
                                            <w:div w:id="129128623">
                                              <w:marLeft w:val="0"/>
                                              <w:marRight w:val="0"/>
                                              <w:marTop w:val="0"/>
                                              <w:marBottom w:val="0"/>
                                              <w:divBdr>
                                                <w:top w:val="single" w:sz="6" w:space="4" w:color="CB3F23"/>
                                                <w:left w:val="none" w:sz="0" w:space="0" w:color="auto"/>
                                                <w:bottom w:val="single" w:sz="6" w:space="4" w:color="CB3F23"/>
                                                <w:right w:val="none" w:sz="0" w:space="0" w:color="auto"/>
                                              </w:divBdr>
                                            </w:div>
                                            <w:div w:id="1092120543">
                                              <w:marLeft w:val="0"/>
                                              <w:marRight w:val="0"/>
                                              <w:marTop w:val="0"/>
                                              <w:marBottom w:val="0"/>
                                              <w:divBdr>
                                                <w:top w:val="single" w:sz="6" w:space="4" w:color="CB3F23"/>
                                                <w:left w:val="none" w:sz="0" w:space="0" w:color="auto"/>
                                                <w:bottom w:val="single" w:sz="6" w:space="4" w:color="CB3F23"/>
                                                <w:right w:val="none" w:sz="0" w:space="0" w:color="auto"/>
                                              </w:divBdr>
                                            </w:div>
                                            <w:div w:id="1479224351">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431126092">
      <w:bodyDiv w:val="1"/>
      <w:marLeft w:val="0"/>
      <w:marRight w:val="0"/>
      <w:marTop w:val="0"/>
      <w:marBottom w:val="0"/>
      <w:divBdr>
        <w:top w:val="none" w:sz="0" w:space="0" w:color="auto"/>
        <w:left w:val="none" w:sz="0" w:space="0" w:color="auto"/>
        <w:bottom w:val="none" w:sz="0" w:space="0" w:color="auto"/>
        <w:right w:val="none" w:sz="0" w:space="0" w:color="auto"/>
      </w:divBdr>
      <w:divsChild>
        <w:div w:id="939409423">
          <w:marLeft w:val="0"/>
          <w:marRight w:val="0"/>
          <w:marTop w:val="0"/>
          <w:marBottom w:val="0"/>
          <w:divBdr>
            <w:top w:val="none" w:sz="0" w:space="0" w:color="auto"/>
            <w:left w:val="none" w:sz="0" w:space="0" w:color="auto"/>
            <w:bottom w:val="none" w:sz="0" w:space="0" w:color="auto"/>
            <w:right w:val="none" w:sz="0" w:space="0" w:color="auto"/>
          </w:divBdr>
          <w:divsChild>
            <w:div w:id="2102412764">
              <w:marLeft w:val="0"/>
              <w:marRight w:val="0"/>
              <w:marTop w:val="0"/>
              <w:marBottom w:val="0"/>
              <w:divBdr>
                <w:top w:val="none" w:sz="0" w:space="0" w:color="auto"/>
                <w:left w:val="none" w:sz="0" w:space="0" w:color="auto"/>
                <w:bottom w:val="none" w:sz="0" w:space="0" w:color="auto"/>
                <w:right w:val="none" w:sz="0" w:space="0" w:color="auto"/>
              </w:divBdr>
              <w:divsChild>
                <w:div w:id="695621444">
                  <w:marLeft w:val="0"/>
                  <w:marRight w:val="0"/>
                  <w:marTop w:val="0"/>
                  <w:marBottom w:val="0"/>
                  <w:divBdr>
                    <w:top w:val="none" w:sz="0" w:space="0" w:color="auto"/>
                    <w:left w:val="none" w:sz="0" w:space="0" w:color="auto"/>
                    <w:bottom w:val="none" w:sz="0" w:space="0" w:color="auto"/>
                    <w:right w:val="none" w:sz="0" w:space="0" w:color="auto"/>
                  </w:divBdr>
                  <w:divsChild>
                    <w:div w:id="2075619130">
                      <w:marLeft w:val="0"/>
                      <w:marRight w:val="0"/>
                      <w:marTop w:val="0"/>
                      <w:marBottom w:val="0"/>
                      <w:divBdr>
                        <w:top w:val="none" w:sz="0" w:space="0" w:color="auto"/>
                        <w:left w:val="none" w:sz="0" w:space="0" w:color="auto"/>
                        <w:bottom w:val="none" w:sz="0" w:space="0" w:color="auto"/>
                        <w:right w:val="none" w:sz="0" w:space="0" w:color="auto"/>
                      </w:divBdr>
                      <w:divsChild>
                        <w:div w:id="1004816702">
                          <w:marLeft w:val="0"/>
                          <w:marRight w:val="0"/>
                          <w:marTop w:val="0"/>
                          <w:marBottom w:val="0"/>
                          <w:divBdr>
                            <w:top w:val="none" w:sz="0" w:space="0" w:color="auto"/>
                            <w:left w:val="none" w:sz="0" w:space="0" w:color="auto"/>
                            <w:bottom w:val="none" w:sz="0" w:space="0" w:color="auto"/>
                            <w:right w:val="none" w:sz="0" w:space="0" w:color="auto"/>
                          </w:divBdr>
                          <w:divsChild>
                            <w:div w:id="1747800802">
                              <w:marLeft w:val="0"/>
                              <w:marRight w:val="0"/>
                              <w:marTop w:val="0"/>
                              <w:marBottom w:val="0"/>
                              <w:divBdr>
                                <w:top w:val="none" w:sz="0" w:space="0" w:color="auto"/>
                                <w:left w:val="none" w:sz="0" w:space="0" w:color="auto"/>
                                <w:bottom w:val="none" w:sz="0" w:space="0" w:color="auto"/>
                                <w:right w:val="none" w:sz="0" w:space="0" w:color="auto"/>
                              </w:divBdr>
                              <w:divsChild>
                                <w:div w:id="1829204142">
                                  <w:marLeft w:val="0"/>
                                  <w:marRight w:val="0"/>
                                  <w:marTop w:val="225"/>
                                  <w:marBottom w:val="0"/>
                                  <w:divBdr>
                                    <w:top w:val="single" w:sz="2" w:space="13" w:color="C7C3BB"/>
                                    <w:left w:val="single" w:sz="2" w:space="13" w:color="C7C3BB"/>
                                    <w:bottom w:val="single" w:sz="2" w:space="13" w:color="C7C3BB"/>
                                    <w:right w:val="single" w:sz="2" w:space="13" w:color="C7C3BB"/>
                                  </w:divBdr>
                                  <w:divsChild>
                                    <w:div w:id="624703344">
                                      <w:marLeft w:val="0"/>
                                      <w:marRight w:val="0"/>
                                      <w:marTop w:val="0"/>
                                      <w:marBottom w:val="0"/>
                                      <w:divBdr>
                                        <w:top w:val="none" w:sz="0" w:space="0" w:color="auto"/>
                                        <w:left w:val="none" w:sz="0" w:space="0" w:color="auto"/>
                                        <w:bottom w:val="none" w:sz="0" w:space="0" w:color="auto"/>
                                        <w:right w:val="none" w:sz="0" w:space="0" w:color="auto"/>
                                      </w:divBdr>
                                      <w:divsChild>
                                        <w:div w:id="301083752">
                                          <w:marLeft w:val="0"/>
                                          <w:marRight w:val="0"/>
                                          <w:marTop w:val="0"/>
                                          <w:marBottom w:val="0"/>
                                          <w:divBdr>
                                            <w:top w:val="none" w:sz="0" w:space="0" w:color="auto"/>
                                            <w:left w:val="none" w:sz="0" w:space="0" w:color="auto"/>
                                            <w:bottom w:val="none" w:sz="0" w:space="0" w:color="auto"/>
                                            <w:right w:val="none" w:sz="0" w:space="0" w:color="auto"/>
                                          </w:divBdr>
                                          <w:divsChild>
                                            <w:div w:id="6947443">
                                              <w:marLeft w:val="0"/>
                                              <w:marRight w:val="0"/>
                                              <w:marTop w:val="0"/>
                                              <w:marBottom w:val="0"/>
                                              <w:divBdr>
                                                <w:top w:val="single" w:sz="6" w:space="4" w:color="CB3F23"/>
                                                <w:left w:val="none" w:sz="0" w:space="0" w:color="auto"/>
                                                <w:bottom w:val="single" w:sz="6" w:space="4" w:color="CB3F23"/>
                                                <w:right w:val="none" w:sz="0" w:space="0" w:color="auto"/>
                                              </w:divBdr>
                                            </w:div>
                                            <w:div w:id="1988197617">
                                              <w:marLeft w:val="0"/>
                                              <w:marRight w:val="0"/>
                                              <w:marTop w:val="0"/>
                                              <w:marBottom w:val="0"/>
                                              <w:divBdr>
                                                <w:top w:val="single" w:sz="6" w:space="4" w:color="CB3F23"/>
                                                <w:left w:val="none" w:sz="0" w:space="0" w:color="auto"/>
                                                <w:bottom w:val="single" w:sz="6" w:space="4" w:color="CB3F23"/>
                                                <w:right w:val="none" w:sz="0" w:space="0" w:color="auto"/>
                                              </w:divBdr>
                                            </w:div>
                                            <w:div w:id="1488395816">
                                              <w:marLeft w:val="0"/>
                                              <w:marRight w:val="0"/>
                                              <w:marTop w:val="0"/>
                                              <w:marBottom w:val="0"/>
                                              <w:divBdr>
                                                <w:top w:val="single" w:sz="6" w:space="4" w:color="CB3F23"/>
                                                <w:left w:val="none" w:sz="0" w:space="0" w:color="auto"/>
                                                <w:bottom w:val="single" w:sz="6" w:space="4" w:color="CB3F23"/>
                                                <w:right w:val="none" w:sz="0" w:space="0" w:color="auto"/>
                                              </w:divBdr>
                                            </w:div>
                                            <w:div w:id="47993649">
                                              <w:marLeft w:val="0"/>
                                              <w:marRight w:val="0"/>
                                              <w:marTop w:val="0"/>
                                              <w:marBottom w:val="0"/>
                                              <w:divBdr>
                                                <w:top w:val="single" w:sz="6" w:space="4" w:color="CB3F23"/>
                                                <w:left w:val="none" w:sz="0" w:space="0" w:color="auto"/>
                                                <w:bottom w:val="single" w:sz="6" w:space="4" w:color="CB3F23"/>
                                                <w:right w:val="none" w:sz="0" w:space="0" w:color="auto"/>
                                              </w:divBdr>
                                            </w:div>
                                            <w:div w:id="657685736">
                                              <w:marLeft w:val="0"/>
                                              <w:marRight w:val="0"/>
                                              <w:marTop w:val="0"/>
                                              <w:marBottom w:val="0"/>
                                              <w:divBdr>
                                                <w:top w:val="single" w:sz="6" w:space="4" w:color="CB3F23"/>
                                                <w:left w:val="none" w:sz="0" w:space="0" w:color="auto"/>
                                                <w:bottom w:val="single" w:sz="6" w:space="4" w:color="CB3F23"/>
                                                <w:right w:val="none" w:sz="0" w:space="0" w:color="auto"/>
                                              </w:divBdr>
                                            </w:div>
                                            <w:div w:id="1818112783">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543443720">
      <w:bodyDiv w:val="1"/>
      <w:marLeft w:val="0"/>
      <w:marRight w:val="0"/>
      <w:marTop w:val="0"/>
      <w:marBottom w:val="0"/>
      <w:divBdr>
        <w:top w:val="none" w:sz="0" w:space="0" w:color="auto"/>
        <w:left w:val="none" w:sz="0" w:space="0" w:color="auto"/>
        <w:bottom w:val="none" w:sz="0" w:space="0" w:color="auto"/>
        <w:right w:val="none" w:sz="0" w:space="0" w:color="auto"/>
      </w:divBdr>
      <w:divsChild>
        <w:div w:id="108285111">
          <w:marLeft w:val="0"/>
          <w:marRight w:val="0"/>
          <w:marTop w:val="0"/>
          <w:marBottom w:val="0"/>
          <w:divBdr>
            <w:top w:val="none" w:sz="0" w:space="0" w:color="auto"/>
            <w:left w:val="none" w:sz="0" w:space="0" w:color="auto"/>
            <w:bottom w:val="none" w:sz="0" w:space="0" w:color="auto"/>
            <w:right w:val="none" w:sz="0" w:space="0" w:color="auto"/>
          </w:divBdr>
          <w:divsChild>
            <w:div w:id="1040977474">
              <w:marLeft w:val="0"/>
              <w:marRight w:val="0"/>
              <w:marTop w:val="0"/>
              <w:marBottom w:val="0"/>
              <w:divBdr>
                <w:top w:val="none" w:sz="0" w:space="0" w:color="auto"/>
                <w:left w:val="none" w:sz="0" w:space="0" w:color="auto"/>
                <w:bottom w:val="none" w:sz="0" w:space="0" w:color="auto"/>
                <w:right w:val="none" w:sz="0" w:space="0" w:color="auto"/>
              </w:divBdr>
              <w:divsChild>
                <w:div w:id="432241344">
                  <w:marLeft w:val="0"/>
                  <w:marRight w:val="0"/>
                  <w:marTop w:val="0"/>
                  <w:marBottom w:val="0"/>
                  <w:divBdr>
                    <w:top w:val="none" w:sz="0" w:space="0" w:color="auto"/>
                    <w:left w:val="none" w:sz="0" w:space="0" w:color="auto"/>
                    <w:bottom w:val="none" w:sz="0" w:space="0" w:color="auto"/>
                    <w:right w:val="none" w:sz="0" w:space="0" w:color="auto"/>
                  </w:divBdr>
                  <w:divsChild>
                    <w:div w:id="892884011">
                      <w:marLeft w:val="0"/>
                      <w:marRight w:val="0"/>
                      <w:marTop w:val="0"/>
                      <w:marBottom w:val="0"/>
                      <w:divBdr>
                        <w:top w:val="none" w:sz="0" w:space="0" w:color="auto"/>
                        <w:left w:val="none" w:sz="0" w:space="0" w:color="auto"/>
                        <w:bottom w:val="none" w:sz="0" w:space="0" w:color="auto"/>
                        <w:right w:val="none" w:sz="0" w:space="0" w:color="auto"/>
                      </w:divBdr>
                      <w:divsChild>
                        <w:div w:id="1770660971">
                          <w:marLeft w:val="0"/>
                          <w:marRight w:val="0"/>
                          <w:marTop w:val="0"/>
                          <w:marBottom w:val="0"/>
                          <w:divBdr>
                            <w:top w:val="none" w:sz="0" w:space="0" w:color="auto"/>
                            <w:left w:val="none" w:sz="0" w:space="0" w:color="auto"/>
                            <w:bottom w:val="none" w:sz="0" w:space="0" w:color="auto"/>
                            <w:right w:val="none" w:sz="0" w:space="0" w:color="auto"/>
                          </w:divBdr>
                          <w:divsChild>
                            <w:div w:id="1387728386">
                              <w:marLeft w:val="0"/>
                              <w:marRight w:val="0"/>
                              <w:marTop w:val="0"/>
                              <w:marBottom w:val="0"/>
                              <w:divBdr>
                                <w:top w:val="none" w:sz="0" w:space="0" w:color="auto"/>
                                <w:left w:val="none" w:sz="0" w:space="0" w:color="auto"/>
                                <w:bottom w:val="none" w:sz="0" w:space="0" w:color="auto"/>
                                <w:right w:val="none" w:sz="0" w:space="0" w:color="auto"/>
                              </w:divBdr>
                              <w:divsChild>
                                <w:div w:id="1303659166">
                                  <w:marLeft w:val="0"/>
                                  <w:marRight w:val="0"/>
                                  <w:marTop w:val="225"/>
                                  <w:marBottom w:val="0"/>
                                  <w:divBdr>
                                    <w:top w:val="single" w:sz="2" w:space="13" w:color="C7C3BB"/>
                                    <w:left w:val="single" w:sz="2" w:space="13" w:color="C7C3BB"/>
                                    <w:bottom w:val="single" w:sz="2" w:space="13" w:color="C7C3BB"/>
                                    <w:right w:val="single" w:sz="2" w:space="13" w:color="C7C3BB"/>
                                  </w:divBdr>
                                  <w:divsChild>
                                    <w:div w:id="1588461987">
                                      <w:marLeft w:val="0"/>
                                      <w:marRight w:val="0"/>
                                      <w:marTop w:val="0"/>
                                      <w:marBottom w:val="0"/>
                                      <w:divBdr>
                                        <w:top w:val="none" w:sz="0" w:space="0" w:color="auto"/>
                                        <w:left w:val="none" w:sz="0" w:space="0" w:color="auto"/>
                                        <w:bottom w:val="none" w:sz="0" w:space="0" w:color="auto"/>
                                        <w:right w:val="none" w:sz="0" w:space="0" w:color="auto"/>
                                      </w:divBdr>
                                      <w:divsChild>
                                        <w:div w:id="1590888948">
                                          <w:marLeft w:val="0"/>
                                          <w:marRight w:val="0"/>
                                          <w:marTop w:val="0"/>
                                          <w:marBottom w:val="0"/>
                                          <w:divBdr>
                                            <w:top w:val="none" w:sz="0" w:space="0" w:color="auto"/>
                                            <w:left w:val="none" w:sz="0" w:space="0" w:color="auto"/>
                                            <w:bottom w:val="none" w:sz="0" w:space="0" w:color="auto"/>
                                            <w:right w:val="none" w:sz="0" w:space="0" w:color="auto"/>
                                          </w:divBdr>
                                          <w:divsChild>
                                            <w:div w:id="1526480133">
                                              <w:marLeft w:val="0"/>
                                              <w:marRight w:val="0"/>
                                              <w:marTop w:val="0"/>
                                              <w:marBottom w:val="0"/>
                                              <w:divBdr>
                                                <w:top w:val="single" w:sz="6" w:space="4" w:color="CB3F23"/>
                                                <w:left w:val="none" w:sz="0" w:space="0" w:color="auto"/>
                                                <w:bottom w:val="single" w:sz="6" w:space="4" w:color="CB3F23"/>
                                                <w:right w:val="none" w:sz="0" w:space="0" w:color="auto"/>
                                              </w:divBdr>
                                            </w:div>
                                            <w:div w:id="2126271322">
                                              <w:marLeft w:val="0"/>
                                              <w:marRight w:val="0"/>
                                              <w:marTop w:val="0"/>
                                              <w:marBottom w:val="0"/>
                                              <w:divBdr>
                                                <w:top w:val="single" w:sz="6" w:space="4" w:color="CB3F23"/>
                                                <w:left w:val="none" w:sz="0" w:space="0" w:color="auto"/>
                                                <w:bottom w:val="single" w:sz="6" w:space="4" w:color="CB3F23"/>
                                                <w:right w:val="none" w:sz="0" w:space="0" w:color="auto"/>
                                              </w:divBdr>
                                            </w:div>
                                            <w:div w:id="1082408622">
                                              <w:marLeft w:val="0"/>
                                              <w:marRight w:val="0"/>
                                              <w:marTop w:val="0"/>
                                              <w:marBottom w:val="0"/>
                                              <w:divBdr>
                                                <w:top w:val="single" w:sz="6" w:space="4" w:color="CB3F23"/>
                                                <w:left w:val="none" w:sz="0" w:space="0" w:color="auto"/>
                                                <w:bottom w:val="single" w:sz="6" w:space="4" w:color="CB3F23"/>
                                                <w:right w:val="none" w:sz="0" w:space="0" w:color="auto"/>
                                              </w:divBdr>
                                            </w:div>
                                            <w:div w:id="710619217">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838889094">
      <w:bodyDiv w:val="1"/>
      <w:marLeft w:val="0"/>
      <w:marRight w:val="0"/>
      <w:marTop w:val="0"/>
      <w:marBottom w:val="0"/>
      <w:divBdr>
        <w:top w:val="none" w:sz="0" w:space="0" w:color="auto"/>
        <w:left w:val="none" w:sz="0" w:space="0" w:color="auto"/>
        <w:bottom w:val="none" w:sz="0" w:space="0" w:color="auto"/>
        <w:right w:val="none" w:sz="0" w:space="0" w:color="auto"/>
      </w:divBdr>
      <w:divsChild>
        <w:div w:id="1147283957">
          <w:marLeft w:val="0"/>
          <w:marRight w:val="0"/>
          <w:marTop w:val="0"/>
          <w:marBottom w:val="0"/>
          <w:divBdr>
            <w:top w:val="none" w:sz="0" w:space="0" w:color="auto"/>
            <w:left w:val="none" w:sz="0" w:space="0" w:color="auto"/>
            <w:bottom w:val="none" w:sz="0" w:space="0" w:color="auto"/>
            <w:right w:val="none" w:sz="0" w:space="0" w:color="auto"/>
          </w:divBdr>
          <w:divsChild>
            <w:div w:id="1603222390">
              <w:marLeft w:val="0"/>
              <w:marRight w:val="0"/>
              <w:marTop w:val="0"/>
              <w:marBottom w:val="0"/>
              <w:divBdr>
                <w:top w:val="none" w:sz="0" w:space="0" w:color="auto"/>
                <w:left w:val="none" w:sz="0" w:space="0" w:color="auto"/>
                <w:bottom w:val="none" w:sz="0" w:space="0" w:color="auto"/>
                <w:right w:val="none" w:sz="0" w:space="0" w:color="auto"/>
              </w:divBdr>
              <w:divsChild>
                <w:div w:id="1729378337">
                  <w:marLeft w:val="0"/>
                  <w:marRight w:val="0"/>
                  <w:marTop w:val="0"/>
                  <w:marBottom w:val="0"/>
                  <w:divBdr>
                    <w:top w:val="none" w:sz="0" w:space="0" w:color="auto"/>
                    <w:left w:val="none" w:sz="0" w:space="0" w:color="auto"/>
                    <w:bottom w:val="none" w:sz="0" w:space="0" w:color="auto"/>
                    <w:right w:val="none" w:sz="0" w:space="0" w:color="auto"/>
                  </w:divBdr>
                  <w:divsChild>
                    <w:div w:id="1989163041">
                      <w:marLeft w:val="0"/>
                      <w:marRight w:val="0"/>
                      <w:marTop w:val="0"/>
                      <w:marBottom w:val="0"/>
                      <w:divBdr>
                        <w:top w:val="none" w:sz="0" w:space="0" w:color="auto"/>
                        <w:left w:val="none" w:sz="0" w:space="0" w:color="auto"/>
                        <w:bottom w:val="none" w:sz="0" w:space="0" w:color="auto"/>
                        <w:right w:val="none" w:sz="0" w:space="0" w:color="auto"/>
                      </w:divBdr>
                      <w:divsChild>
                        <w:div w:id="888103022">
                          <w:marLeft w:val="0"/>
                          <w:marRight w:val="0"/>
                          <w:marTop w:val="0"/>
                          <w:marBottom w:val="0"/>
                          <w:divBdr>
                            <w:top w:val="none" w:sz="0" w:space="0" w:color="auto"/>
                            <w:left w:val="none" w:sz="0" w:space="0" w:color="auto"/>
                            <w:bottom w:val="none" w:sz="0" w:space="0" w:color="auto"/>
                            <w:right w:val="none" w:sz="0" w:space="0" w:color="auto"/>
                          </w:divBdr>
                          <w:divsChild>
                            <w:div w:id="175077582">
                              <w:marLeft w:val="0"/>
                              <w:marRight w:val="0"/>
                              <w:marTop w:val="0"/>
                              <w:marBottom w:val="0"/>
                              <w:divBdr>
                                <w:top w:val="none" w:sz="0" w:space="0" w:color="auto"/>
                                <w:left w:val="none" w:sz="0" w:space="0" w:color="auto"/>
                                <w:bottom w:val="none" w:sz="0" w:space="0" w:color="auto"/>
                                <w:right w:val="none" w:sz="0" w:space="0" w:color="auto"/>
                              </w:divBdr>
                              <w:divsChild>
                                <w:div w:id="1002005901">
                                  <w:marLeft w:val="0"/>
                                  <w:marRight w:val="0"/>
                                  <w:marTop w:val="225"/>
                                  <w:marBottom w:val="0"/>
                                  <w:divBdr>
                                    <w:top w:val="single" w:sz="2" w:space="13" w:color="C7C3BB"/>
                                    <w:left w:val="single" w:sz="2" w:space="13" w:color="C7C3BB"/>
                                    <w:bottom w:val="single" w:sz="2" w:space="13" w:color="C7C3BB"/>
                                    <w:right w:val="single" w:sz="2" w:space="13" w:color="C7C3BB"/>
                                  </w:divBdr>
                                  <w:divsChild>
                                    <w:div w:id="1545097587">
                                      <w:marLeft w:val="0"/>
                                      <w:marRight w:val="0"/>
                                      <w:marTop w:val="0"/>
                                      <w:marBottom w:val="0"/>
                                      <w:divBdr>
                                        <w:top w:val="none" w:sz="0" w:space="0" w:color="auto"/>
                                        <w:left w:val="none" w:sz="0" w:space="0" w:color="auto"/>
                                        <w:bottom w:val="none" w:sz="0" w:space="0" w:color="auto"/>
                                        <w:right w:val="none" w:sz="0" w:space="0" w:color="auto"/>
                                      </w:divBdr>
                                      <w:divsChild>
                                        <w:div w:id="1687098108">
                                          <w:marLeft w:val="0"/>
                                          <w:marRight w:val="0"/>
                                          <w:marTop w:val="0"/>
                                          <w:marBottom w:val="0"/>
                                          <w:divBdr>
                                            <w:top w:val="none" w:sz="0" w:space="0" w:color="auto"/>
                                            <w:left w:val="none" w:sz="0" w:space="0" w:color="auto"/>
                                            <w:bottom w:val="none" w:sz="0" w:space="0" w:color="auto"/>
                                            <w:right w:val="none" w:sz="0" w:space="0" w:color="auto"/>
                                          </w:divBdr>
                                          <w:divsChild>
                                            <w:div w:id="1663313126">
                                              <w:marLeft w:val="0"/>
                                              <w:marRight w:val="0"/>
                                              <w:marTop w:val="0"/>
                                              <w:marBottom w:val="0"/>
                                              <w:divBdr>
                                                <w:top w:val="single" w:sz="6" w:space="4" w:color="CB3F23"/>
                                                <w:left w:val="none" w:sz="0" w:space="0" w:color="auto"/>
                                                <w:bottom w:val="single" w:sz="6" w:space="4" w:color="CB3F23"/>
                                                <w:right w:val="none" w:sz="0" w:space="0" w:color="auto"/>
                                              </w:divBdr>
                                            </w:div>
                                            <w:div w:id="360984553">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F90B2-F8B7-4A43-922B-06A0085F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2951</Words>
  <Characters>18003</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Freudendahl</dc:creator>
  <cp:lastModifiedBy>Allan Gyldendal Frederiksen</cp:lastModifiedBy>
  <cp:revision>3</cp:revision>
  <cp:lastPrinted>2017-05-31T06:12:00Z</cp:lastPrinted>
  <dcterms:created xsi:type="dcterms:W3CDTF">2017-08-16T11:47:00Z</dcterms:created>
  <dcterms:modified xsi:type="dcterms:W3CDTF">2017-08-16T11:48:00Z</dcterms:modified>
</cp:coreProperties>
</file>